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3"/>
          <w:rFonts w:cs="Tahoma" w:asciiTheme="minorEastAsia" w:hAnsiTheme="minorEastAsia"/>
          <w:b/>
          <w:sz w:val="28"/>
          <w:szCs w:val="28"/>
        </w:rPr>
      </w:pPr>
      <w:r>
        <w:rPr>
          <w:rStyle w:val="13"/>
          <w:rFonts w:hint="eastAsia" w:cs="Tahoma" w:asciiTheme="minorEastAsia" w:hAnsiTheme="minorEastAsia"/>
          <w:b/>
          <w:sz w:val="28"/>
          <w:szCs w:val="28"/>
        </w:rPr>
        <w:t>商泰汽车2022届校园招聘简章</w:t>
      </w:r>
    </w:p>
    <w:p>
      <w:pPr>
        <w:spacing w:line="360" w:lineRule="auto"/>
        <w:jc w:val="center"/>
        <w:rPr>
          <w:rStyle w:val="13"/>
          <w:rFonts w:cs="Tahoma" w:asciiTheme="minorEastAsia" w:hAnsiTheme="minorEastAsia"/>
          <w:b/>
          <w:sz w:val="28"/>
          <w:szCs w:val="28"/>
        </w:rPr>
      </w:pPr>
    </w:p>
    <w:p>
      <w:pPr>
        <w:spacing w:line="360" w:lineRule="auto"/>
        <w:jc w:val="left"/>
        <w:rPr>
          <w:rStyle w:val="13"/>
          <w:rFonts w:cs="Tahoma" w:asciiTheme="minorEastAsia" w:hAnsiTheme="minorEastAsia"/>
          <w:szCs w:val="21"/>
        </w:rPr>
      </w:pPr>
      <w:r>
        <w:rPr>
          <w:rStyle w:val="13"/>
          <w:rFonts w:hint="eastAsia" w:cs="Tahoma" w:asciiTheme="minorEastAsia" w:hAnsiTheme="minorEastAsia"/>
          <w:szCs w:val="21"/>
        </w:rPr>
        <w:t>先人一步，必能高筹于众</w:t>
      </w:r>
    </w:p>
    <w:p>
      <w:pPr>
        <w:spacing w:line="360" w:lineRule="auto"/>
        <w:jc w:val="left"/>
        <w:rPr>
          <w:rStyle w:val="13"/>
          <w:rFonts w:cs="Tahoma" w:asciiTheme="minorEastAsia" w:hAnsiTheme="minorEastAsia"/>
          <w:szCs w:val="21"/>
        </w:rPr>
      </w:pPr>
      <w:r>
        <w:rPr>
          <w:rStyle w:val="13"/>
          <w:rFonts w:hint="eastAsia" w:cs="Tahoma" w:asciiTheme="minorEastAsia" w:hAnsiTheme="minorEastAsia"/>
          <w:szCs w:val="21"/>
        </w:rPr>
        <w:t>披荆斩棘，终是风采少年</w:t>
      </w:r>
    </w:p>
    <w:p>
      <w:pPr>
        <w:spacing w:line="360" w:lineRule="auto"/>
        <w:jc w:val="left"/>
        <w:rPr>
          <w:rStyle w:val="13"/>
          <w:rFonts w:cs="Tahoma" w:asciiTheme="minorEastAsia" w:hAnsiTheme="minorEastAsia"/>
          <w:szCs w:val="21"/>
        </w:rPr>
      </w:pPr>
      <w:r>
        <w:rPr>
          <w:rStyle w:val="13"/>
          <w:rFonts w:hint="eastAsia" w:cs="Tahoma" w:asciiTheme="minorEastAsia" w:hAnsiTheme="minorEastAsia"/>
          <w:szCs w:val="21"/>
        </w:rPr>
        <w:t>欢迎加入未来智能汽车系统构建团队</w:t>
      </w:r>
    </w:p>
    <w:p>
      <w:pPr>
        <w:spacing w:line="360" w:lineRule="auto"/>
        <w:jc w:val="left"/>
        <w:rPr>
          <w:rStyle w:val="13"/>
          <w:rFonts w:cs="Tahoma" w:asciiTheme="minorEastAsia" w:hAnsiTheme="minorEastAsia"/>
          <w:szCs w:val="21"/>
        </w:rPr>
      </w:pPr>
    </w:p>
    <w:p>
      <w:pPr>
        <w:spacing w:line="360" w:lineRule="auto"/>
        <w:rPr>
          <w:rFonts w:cs="Arial" w:asciiTheme="minorEastAsia" w:hAnsiTheme="minorEastAsia"/>
          <w:b/>
          <w:szCs w:val="21"/>
        </w:rPr>
      </w:pPr>
      <w:r>
        <w:rPr>
          <w:rFonts w:hint="eastAsia" w:cs="Arial" w:asciiTheme="minorEastAsia" w:hAnsiTheme="minorEastAsia"/>
          <w:b/>
          <w:szCs w:val="21"/>
        </w:rPr>
        <w:t>公司简介：</w:t>
      </w:r>
    </w:p>
    <w:p>
      <w:pPr>
        <w:spacing w:line="360" w:lineRule="auto"/>
        <w:ind w:firstLine="420" w:firstLineChars="200"/>
        <w:rPr>
          <w:rFonts w:cs="Arial" w:asciiTheme="minorEastAsia" w:hAnsiTheme="minorEastAsia"/>
          <w:szCs w:val="21"/>
        </w:rPr>
      </w:pPr>
      <w:r>
        <w:rPr>
          <w:rFonts w:hint="eastAsia" w:cs="Arial" w:asciiTheme="minorEastAsia" w:hAnsiTheme="minorEastAsia"/>
          <w:szCs w:val="21"/>
        </w:rPr>
        <w:t>上海商泰汽车信息系统有限公司（简称：商泰）创立于1995年，专注于汽车智能系统的开发，为车企和Tier1提供智能化、网联化整体解决方案。自成立以来，和众多合作伙伴一起致力于汽车软件产品创新，为新智能汽车赋予新价值，推动汽车产业向下一代领先技术迈进。主营业务涵盖智能座舱、智能网联、高级辅助驾驶、云服务、车载SOA平台软件等整体解决方案，具有成熟度高、交付能力强、产品线及工具链健全、技术创新性领先等优势，产品销售覆盖104个国家和地区，搭载iAUTO全栈式解决方案的量产车辆全世界超过2,000万台。</w:t>
      </w:r>
    </w:p>
    <w:p>
      <w:pPr>
        <w:spacing w:line="360" w:lineRule="auto"/>
        <w:ind w:firstLine="420" w:firstLineChars="200"/>
        <w:rPr>
          <w:rFonts w:cs="Arial" w:asciiTheme="minorEastAsia" w:hAnsiTheme="minorEastAsia"/>
          <w:szCs w:val="21"/>
        </w:rPr>
      </w:pPr>
      <w:r>
        <w:rPr>
          <w:rFonts w:hint="eastAsia" w:cs="Arial" w:asciiTheme="minorEastAsia" w:hAnsiTheme="minorEastAsia"/>
          <w:szCs w:val="21"/>
        </w:rPr>
        <w:t>伴随着科技进步，汽车产业技术迭代速度加快，商泰的工程师们不遗余力，与技术变革同频共振，创新技术发展，站在科学前沿，做具有时代特征的技术服务，成为新时代的弄潮儿。一路26年走来，成绩斐然，获得了国家规划布局内重点软件企业、上海市高新技术企业、外商投资先进技术企业、上海市明星软件企业、上海市软件协会理事会成员、中国汽车工业协会会员、浦东新区高技术服务企业等荣誉称号或资格，并顺利通过ISO9001、ISO27001及CMMI 5认证。</w:t>
      </w:r>
    </w:p>
    <w:p>
      <w:pPr>
        <w:spacing w:line="360" w:lineRule="auto"/>
        <w:ind w:firstLine="420" w:firstLineChars="200"/>
        <w:rPr>
          <w:rFonts w:cs="Arial" w:asciiTheme="minorEastAsia" w:hAnsiTheme="minorEastAsia"/>
          <w:szCs w:val="21"/>
        </w:rPr>
      </w:pPr>
      <w:r>
        <w:rPr>
          <w:rFonts w:hint="eastAsia" w:cs="Arial" w:asciiTheme="minorEastAsia" w:hAnsiTheme="minorEastAsia"/>
          <w:szCs w:val="21"/>
        </w:rPr>
        <w:t>商泰“以服务客户为中心，以员工发展为本，坚持科技领先”的核心价值观，参与生态融合，持续为客户、为行业、为社会创造价值。</w:t>
      </w:r>
    </w:p>
    <w:p>
      <w:pPr>
        <w:spacing w:line="360" w:lineRule="auto"/>
        <w:ind w:firstLine="420" w:firstLineChars="200"/>
        <w:rPr>
          <w:rFonts w:cs="Arial" w:asciiTheme="minorEastAsia" w:hAnsiTheme="minorEastAsia"/>
          <w:szCs w:val="21"/>
        </w:rPr>
      </w:pPr>
      <w:r>
        <w:rPr>
          <w:rFonts w:hint="eastAsia" w:cs="Arial" w:asciiTheme="minorEastAsia" w:hAnsiTheme="minorEastAsia"/>
          <w:szCs w:val="21"/>
        </w:rPr>
        <w:t>商泰坐落于上海市中心CBD核心商业区淮海中路，交通便利，人文环境优越。为更好的服务客户和员工发展，公司以上海为总部中心，在沈阳、大连、东京设有分支机构。</w:t>
      </w:r>
    </w:p>
    <w:p>
      <w:pPr>
        <w:spacing w:line="360" w:lineRule="auto"/>
        <w:ind w:firstLine="420" w:firstLineChars="200"/>
        <w:rPr>
          <w:rFonts w:cs="Arial" w:asciiTheme="minorEastAsia" w:hAnsiTheme="minorEastAsia"/>
          <w:szCs w:val="21"/>
        </w:rPr>
      </w:pPr>
    </w:p>
    <w:p>
      <w:pPr>
        <w:spacing w:line="360" w:lineRule="auto"/>
        <w:ind w:firstLine="420" w:firstLineChars="200"/>
        <w:rPr>
          <w:rFonts w:cs="Arial" w:asciiTheme="minorEastAsia" w:hAnsiTheme="minorEastAsia"/>
          <w:szCs w:val="21"/>
        </w:rPr>
      </w:pPr>
      <w:r>
        <w:rPr>
          <w:rFonts w:hint="eastAsia" w:cs="Arial" w:asciiTheme="minorEastAsia" w:hAnsiTheme="minorEastAsia"/>
          <w:szCs w:val="21"/>
        </w:rPr>
        <w:t>商泰，让汽车软件开发更轻松！</w:t>
      </w:r>
    </w:p>
    <w:p>
      <w:pPr>
        <w:spacing w:line="360" w:lineRule="auto"/>
        <w:ind w:firstLine="420" w:firstLineChars="200"/>
        <w:rPr>
          <w:rFonts w:cs="Arial" w:asciiTheme="minorEastAsia" w:hAnsiTheme="minorEastAsia"/>
          <w:szCs w:val="21"/>
        </w:rPr>
      </w:pPr>
    </w:p>
    <w:p>
      <w:pPr>
        <w:spacing w:line="360" w:lineRule="auto"/>
      </w:pPr>
      <w:r>
        <w:rPr>
          <w:rFonts w:hint="eastAsia"/>
          <w:b/>
        </w:rPr>
        <w:t>招聘流程</w:t>
      </w:r>
      <w:r>
        <w:rPr>
          <w:rFonts w:hint="eastAsia"/>
        </w:rPr>
        <w:t>：</w:t>
      </w:r>
    </w:p>
    <w:p>
      <w:pPr>
        <w:spacing w:line="360" w:lineRule="auto"/>
        <w:ind w:firstLine="420" w:firstLineChars="200"/>
        <w:jc w:val="left"/>
      </w:pPr>
      <w:r>
        <w:rPr>
          <w:rFonts w:hint="eastAsia"/>
        </w:rPr>
        <w:t>网络申请——简历筛选——电话沟通——线上笔试——面试——签约洽谈——o</w:t>
      </w:r>
      <w:r>
        <w:t>ffer</w:t>
      </w:r>
      <w:r>
        <w:rPr>
          <w:rFonts w:hint="eastAsia"/>
        </w:rPr>
        <w:t>发放——入职</w:t>
      </w:r>
    </w:p>
    <w:p>
      <w:pPr>
        <w:spacing w:line="360" w:lineRule="auto"/>
        <w:rPr>
          <w:b/>
        </w:rPr>
      </w:pPr>
    </w:p>
    <w:p>
      <w:pPr>
        <w:spacing w:line="360" w:lineRule="auto"/>
        <w:rPr>
          <w:b/>
        </w:rPr>
      </w:pPr>
      <w:bookmarkStart w:id="0" w:name="OLE_LINK1"/>
      <w:bookmarkStart w:id="1" w:name="OLE_LINK2"/>
      <w:r>
        <w:rPr>
          <w:b/>
        </w:rPr>
        <w:t>招聘</w:t>
      </w:r>
      <w:r>
        <w:rPr>
          <w:rFonts w:hint="eastAsia"/>
          <w:b/>
        </w:rPr>
        <w:t>职</w:t>
      </w:r>
      <w:r>
        <w:rPr>
          <w:b/>
        </w:rPr>
        <w:t>位：</w:t>
      </w:r>
    </w:p>
    <w:p>
      <w:pPr>
        <w:spacing w:line="360" w:lineRule="auto"/>
        <w:rPr>
          <w:rFonts w:ascii="等线" w:hAnsi="等线" w:eastAsia="等线" w:cs="宋体"/>
          <w:color w:val="000000"/>
          <w:kern w:val="0"/>
          <w:szCs w:val="21"/>
        </w:rPr>
      </w:pPr>
      <w:r>
        <w:rPr>
          <w:rFonts w:ascii="等线" w:hAnsi="等线" w:eastAsia="等线" w:cs="宋体"/>
          <w:b/>
          <w:bCs/>
          <w:color w:val="000000"/>
          <w:kern w:val="0"/>
          <w:szCs w:val="21"/>
        </w:rPr>
        <w:t>1</w:t>
      </w:r>
      <w:r>
        <w:rPr>
          <w:rFonts w:hint="eastAsia" w:ascii="等线" w:hAnsi="等线" w:eastAsia="等线" w:cs="宋体"/>
          <w:b/>
          <w:bCs/>
          <w:color w:val="000000"/>
          <w:kern w:val="0"/>
          <w:szCs w:val="21"/>
        </w:rPr>
        <w:t>、AI 工程师</w:t>
      </w:r>
      <w:r>
        <w:rPr>
          <w:rFonts w:hint="eastAsia" w:ascii="等线" w:hAnsi="等线" w:eastAsia="等线" w:cs="宋体"/>
          <w:color w:val="000000"/>
          <w:kern w:val="0"/>
          <w:szCs w:val="21"/>
        </w:rPr>
        <w:t>：</w:t>
      </w:r>
    </w:p>
    <w:tbl>
      <w:tblPr>
        <w:tblStyle w:val="6"/>
        <w:tblW w:w="9493" w:type="dxa"/>
        <w:tblInd w:w="113" w:type="dxa"/>
        <w:tblLayout w:type="autofit"/>
        <w:tblCellMar>
          <w:top w:w="0" w:type="dxa"/>
          <w:left w:w="108" w:type="dxa"/>
          <w:bottom w:w="0" w:type="dxa"/>
          <w:right w:w="108" w:type="dxa"/>
        </w:tblCellMar>
      </w:tblPr>
      <w:tblGrid>
        <w:gridCol w:w="3256"/>
        <w:gridCol w:w="6237"/>
      </w:tblGrid>
      <w:tr>
        <w:tblPrEx>
          <w:tblCellMar>
            <w:top w:w="0" w:type="dxa"/>
            <w:left w:w="108" w:type="dxa"/>
            <w:bottom w:w="0" w:type="dxa"/>
            <w:right w:w="108" w:type="dxa"/>
          </w:tblCellMar>
        </w:tblPrEx>
        <w:trPr>
          <w:trHeight w:val="340" w:hRule="atLeast"/>
        </w:trPr>
        <w:tc>
          <w:tcPr>
            <w:tcW w:w="3256" w:type="dxa"/>
            <w:tcBorders>
              <w:top w:val="single" w:color="auto" w:sz="4" w:space="0"/>
              <w:left w:val="single" w:color="auto" w:sz="4" w:space="0"/>
              <w:bottom w:val="single" w:color="auto" w:sz="4" w:space="0"/>
              <w:right w:val="single" w:color="auto" w:sz="4" w:space="0"/>
            </w:tcBorders>
            <w:shd w:val="clear" w:color="000000" w:fill="9BC2E6"/>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业务方向</w:t>
            </w:r>
          </w:p>
        </w:tc>
        <w:tc>
          <w:tcPr>
            <w:tcW w:w="6237" w:type="dxa"/>
            <w:tcBorders>
              <w:top w:val="single" w:color="auto" w:sz="4" w:space="0"/>
              <w:left w:val="nil"/>
              <w:bottom w:val="single" w:color="auto" w:sz="4" w:space="0"/>
              <w:right w:val="single" w:color="auto" w:sz="4" w:space="0"/>
            </w:tcBorders>
            <w:shd w:val="clear" w:color="000000" w:fill="9BC2E6"/>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岗位介绍</w:t>
            </w:r>
          </w:p>
        </w:tc>
      </w:tr>
      <w:tr>
        <w:tblPrEx>
          <w:tblCellMar>
            <w:top w:w="0" w:type="dxa"/>
            <w:left w:w="108" w:type="dxa"/>
            <w:bottom w:w="0" w:type="dxa"/>
            <w:right w:w="108" w:type="dxa"/>
          </w:tblCellMar>
        </w:tblPrEx>
        <w:trPr>
          <w:trHeight w:val="1389"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360度环视</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研究并实现通过虚拟场景投影重建技术，将车辆超广角摄像头的信息进行重构，让车主可以对车身周围进行360度全方位的感知，实现盲区检测、移动物体检测、自动泊车、上帝视角全景展示等一系列辅助驾驶功能，从而大幅度提升车辆的行驶安全。</w:t>
            </w:r>
          </w:p>
        </w:tc>
      </w:tr>
      <w:tr>
        <w:tblPrEx>
          <w:tblCellMar>
            <w:top w:w="0" w:type="dxa"/>
            <w:left w:w="108" w:type="dxa"/>
            <w:bottom w:w="0" w:type="dxa"/>
            <w:right w:w="108" w:type="dxa"/>
          </w:tblCellMar>
        </w:tblPrEx>
        <w:trPr>
          <w:trHeight w:val="982"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自动泊车</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研究并实现通过环视摄像头、超声波雷达感知车辆自身和周围物体之间的距离与角度，控制车速和方向盘进行自动泊车。</w:t>
            </w:r>
          </w:p>
        </w:tc>
      </w:tr>
      <w:tr>
        <w:tblPrEx>
          <w:tblCellMar>
            <w:top w:w="0" w:type="dxa"/>
            <w:left w:w="108" w:type="dxa"/>
            <w:bottom w:w="0" w:type="dxa"/>
            <w:right w:w="108" w:type="dxa"/>
          </w:tblCellMar>
        </w:tblPrEx>
        <w:trPr>
          <w:trHeight w:val="1136"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高级驾驶辅助系统</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研究并实现通过车辆的各种传感器收集数据，结合地图数据进行系统计算，提供自适应巡航控制、车道偏离警示、自动变道、防撞警示、行人侦测等功能。</w:t>
            </w:r>
          </w:p>
        </w:tc>
      </w:tr>
      <w:tr>
        <w:tblPrEx>
          <w:tblCellMar>
            <w:top w:w="0" w:type="dxa"/>
            <w:left w:w="108" w:type="dxa"/>
            <w:bottom w:w="0" w:type="dxa"/>
            <w:right w:w="108" w:type="dxa"/>
          </w:tblCellMar>
        </w:tblPrEx>
        <w:trPr>
          <w:trHeight w:val="1252"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人脸识别/疲劳驾驶监测</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基于深度学习进行 FaceID 和疲劳驾驶的算法研发，高效快捷地完成驾驶员身份识别认证并通过算法进行疲劳驾驶监控、分心驾驶监控，提高行车安全。</w:t>
            </w:r>
          </w:p>
        </w:tc>
      </w:tr>
    </w:tbl>
    <w:p>
      <w:pPr>
        <w:spacing w:line="360" w:lineRule="auto"/>
        <w:rPr>
          <w:b/>
        </w:rPr>
      </w:pPr>
      <w:r>
        <w:rPr>
          <w:rFonts w:hint="eastAsia"/>
          <w:b/>
        </w:rPr>
        <w:t>2、软件开发工程师：</w:t>
      </w:r>
    </w:p>
    <w:tbl>
      <w:tblPr>
        <w:tblStyle w:val="6"/>
        <w:tblW w:w="9493" w:type="dxa"/>
        <w:tblInd w:w="113" w:type="dxa"/>
        <w:tblLayout w:type="autofit"/>
        <w:tblCellMar>
          <w:top w:w="0" w:type="dxa"/>
          <w:left w:w="108" w:type="dxa"/>
          <w:bottom w:w="0" w:type="dxa"/>
          <w:right w:w="108" w:type="dxa"/>
        </w:tblCellMar>
      </w:tblPr>
      <w:tblGrid>
        <w:gridCol w:w="3256"/>
        <w:gridCol w:w="6237"/>
      </w:tblGrid>
      <w:tr>
        <w:tblPrEx>
          <w:tblCellMar>
            <w:top w:w="0" w:type="dxa"/>
            <w:left w:w="108" w:type="dxa"/>
            <w:bottom w:w="0" w:type="dxa"/>
            <w:right w:w="108" w:type="dxa"/>
          </w:tblCellMar>
        </w:tblPrEx>
        <w:trPr>
          <w:trHeight w:val="340" w:hRule="atLeast"/>
        </w:trPr>
        <w:tc>
          <w:tcPr>
            <w:tcW w:w="3256" w:type="dxa"/>
            <w:tcBorders>
              <w:top w:val="single" w:color="auto" w:sz="4" w:space="0"/>
              <w:left w:val="single" w:color="auto" w:sz="4" w:space="0"/>
              <w:bottom w:val="single" w:color="auto" w:sz="4" w:space="0"/>
              <w:right w:val="single" w:color="auto" w:sz="4" w:space="0"/>
            </w:tcBorders>
            <w:shd w:val="clear" w:color="000000" w:fill="9BC2E6"/>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业务方向</w:t>
            </w:r>
          </w:p>
        </w:tc>
        <w:tc>
          <w:tcPr>
            <w:tcW w:w="6237" w:type="dxa"/>
            <w:tcBorders>
              <w:top w:val="single" w:color="auto" w:sz="4" w:space="0"/>
              <w:left w:val="nil"/>
              <w:bottom w:val="single" w:color="auto" w:sz="4" w:space="0"/>
              <w:right w:val="single" w:color="auto" w:sz="4" w:space="0"/>
            </w:tcBorders>
            <w:shd w:val="clear" w:color="000000" w:fill="9BC2E6"/>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岗位介绍</w:t>
            </w:r>
          </w:p>
        </w:tc>
      </w:tr>
      <w:tr>
        <w:tblPrEx>
          <w:tblCellMar>
            <w:top w:w="0" w:type="dxa"/>
            <w:left w:w="108" w:type="dxa"/>
            <w:bottom w:w="0" w:type="dxa"/>
            <w:right w:w="108" w:type="dxa"/>
          </w:tblCellMar>
        </w:tblPrEx>
        <w:trPr>
          <w:trHeight w:val="171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智能座舱软件开发工程师</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自主研发车载智能座舱整体方案，包括车载信息娱乐系统、AR-HUD、车载液晶仪表系统的开发。以丰富用户体验为出发点，实现包括2D/3D导航、实时路况、在线娱乐功能、手机互联、智能语音交互，数字助理等一系列应用，为用户构建个性化的出行体验。</w:t>
            </w:r>
          </w:p>
        </w:tc>
      </w:tr>
      <w:tr>
        <w:tblPrEx>
          <w:tblCellMar>
            <w:top w:w="0" w:type="dxa"/>
            <w:left w:w="108" w:type="dxa"/>
            <w:bottom w:w="0" w:type="dxa"/>
            <w:right w:w="108" w:type="dxa"/>
          </w:tblCellMar>
        </w:tblPrEx>
        <w:trPr>
          <w:trHeight w:val="1555"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智能网联软件开发工程师</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自主研发车载智能网联整体方案，为智能汽车提供与外界更高准确率，更低误报率的“感知”、“对话”手段，打造车与万物互联的数字生态体系。把“人、车、路、云”等交通参与要素有机地联系在一起。</w:t>
            </w:r>
          </w:p>
        </w:tc>
      </w:tr>
      <w:tr>
        <w:tblPrEx>
          <w:tblCellMar>
            <w:top w:w="0" w:type="dxa"/>
            <w:left w:w="108" w:type="dxa"/>
            <w:bottom w:w="0" w:type="dxa"/>
            <w:right w:w="108" w:type="dxa"/>
          </w:tblCellMar>
        </w:tblPrEx>
        <w:trPr>
          <w:trHeight w:val="1401"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智能车控软件开发工程师</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自主研发车载智能车控整体方案，控制及执行机构的精准实时控制系统为安全行车提供基本保障，最新技术加持下的车控域平台，采用了标准软件架构，运行于多核异构芯片，充分利用核间通信和算力动态分布技术，提供最高安全等级的基础运算平台。</w:t>
            </w:r>
          </w:p>
        </w:tc>
      </w:tr>
      <w:tr>
        <w:tblPrEx>
          <w:tblCellMar>
            <w:top w:w="0" w:type="dxa"/>
            <w:left w:w="108" w:type="dxa"/>
            <w:bottom w:w="0" w:type="dxa"/>
            <w:right w:w="108" w:type="dxa"/>
          </w:tblCellMar>
        </w:tblPrEx>
        <w:trPr>
          <w:trHeight w:val="1401"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云端软件开发工程师</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实现通过云端接收车辆的海量传感和日志数据，对数据进行实时处理、存储和分析。搭建 OTA、AppStore、场景服务、开发者平台等云端服务平台。</w:t>
            </w:r>
          </w:p>
        </w:tc>
      </w:tr>
    </w:tbl>
    <w:p>
      <w:pPr>
        <w:spacing w:line="360" w:lineRule="auto"/>
        <w:rPr>
          <w:b/>
        </w:rPr>
      </w:pPr>
    </w:p>
    <w:p>
      <w:pPr>
        <w:spacing w:line="360" w:lineRule="auto"/>
        <w:rPr>
          <w:b/>
        </w:rPr>
      </w:pPr>
      <w:r>
        <w:rPr>
          <w:rFonts w:hint="eastAsia"/>
          <w:b/>
        </w:rPr>
        <w:t>3、算法工程师：</w:t>
      </w:r>
    </w:p>
    <w:tbl>
      <w:tblPr>
        <w:tblStyle w:val="6"/>
        <w:tblW w:w="9493" w:type="dxa"/>
        <w:tblInd w:w="113" w:type="dxa"/>
        <w:tblLayout w:type="autofit"/>
        <w:tblCellMar>
          <w:top w:w="0" w:type="dxa"/>
          <w:left w:w="108" w:type="dxa"/>
          <w:bottom w:w="0" w:type="dxa"/>
          <w:right w:w="108" w:type="dxa"/>
        </w:tblCellMar>
      </w:tblPr>
      <w:tblGrid>
        <w:gridCol w:w="3256"/>
        <w:gridCol w:w="6237"/>
      </w:tblGrid>
      <w:tr>
        <w:tblPrEx>
          <w:tblCellMar>
            <w:top w:w="0" w:type="dxa"/>
            <w:left w:w="108" w:type="dxa"/>
            <w:bottom w:w="0" w:type="dxa"/>
            <w:right w:w="108" w:type="dxa"/>
          </w:tblCellMar>
        </w:tblPrEx>
        <w:trPr>
          <w:trHeight w:val="340" w:hRule="atLeast"/>
        </w:trPr>
        <w:tc>
          <w:tcPr>
            <w:tcW w:w="3256" w:type="dxa"/>
            <w:tcBorders>
              <w:top w:val="single" w:color="auto" w:sz="4" w:space="0"/>
              <w:left w:val="single" w:color="auto" w:sz="4" w:space="0"/>
              <w:bottom w:val="single" w:color="auto" w:sz="4" w:space="0"/>
              <w:right w:val="single" w:color="auto" w:sz="4" w:space="0"/>
            </w:tcBorders>
            <w:shd w:val="clear" w:color="000000" w:fill="9BC2E6"/>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业务方向</w:t>
            </w:r>
          </w:p>
        </w:tc>
        <w:tc>
          <w:tcPr>
            <w:tcW w:w="6237" w:type="dxa"/>
            <w:tcBorders>
              <w:top w:val="single" w:color="auto" w:sz="4" w:space="0"/>
              <w:left w:val="nil"/>
              <w:bottom w:val="single" w:color="auto" w:sz="4" w:space="0"/>
              <w:right w:val="single" w:color="auto" w:sz="4" w:space="0"/>
            </w:tcBorders>
            <w:shd w:val="clear" w:color="000000" w:fill="9BC2E6"/>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岗位介绍</w:t>
            </w:r>
          </w:p>
        </w:tc>
      </w:tr>
      <w:tr>
        <w:trPr>
          <w:trHeight w:val="1020"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自动驾驶算法</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研究自动驾驶相关的 计算机视觉、传感器数据融合等算法，实现图像或者三维点云中的目标检测、跟踪、图像理解等相关算法。</w:t>
            </w:r>
          </w:p>
        </w:tc>
      </w:tr>
      <w:tr>
        <w:tblPrEx>
          <w:tblCellMar>
            <w:top w:w="0" w:type="dxa"/>
            <w:left w:w="108" w:type="dxa"/>
            <w:bottom w:w="0" w:type="dxa"/>
            <w:right w:w="108" w:type="dxa"/>
          </w:tblCellMar>
        </w:tblPrEx>
        <w:trPr>
          <w:trHeight w:val="1112"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推荐引擎算法</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研究基于云端接收的车辆海量传感和日志数据进行机器学习和模型训练，挖掘数据内隐藏的价值和关系。</w:t>
            </w:r>
          </w:p>
        </w:tc>
      </w:tr>
    </w:tbl>
    <w:p>
      <w:pPr>
        <w:spacing w:line="360" w:lineRule="auto"/>
        <w:rPr>
          <w:b/>
        </w:rPr>
      </w:pPr>
      <w:r>
        <w:rPr>
          <w:rFonts w:hint="eastAsia"/>
          <w:b/>
        </w:rPr>
        <w:t>4、平台技术工程师：</w:t>
      </w:r>
    </w:p>
    <w:tbl>
      <w:tblPr>
        <w:tblStyle w:val="6"/>
        <w:tblW w:w="9493" w:type="dxa"/>
        <w:tblInd w:w="113" w:type="dxa"/>
        <w:tblLayout w:type="autofit"/>
        <w:tblCellMar>
          <w:top w:w="0" w:type="dxa"/>
          <w:left w:w="108" w:type="dxa"/>
          <w:bottom w:w="0" w:type="dxa"/>
          <w:right w:w="108" w:type="dxa"/>
        </w:tblCellMar>
      </w:tblPr>
      <w:tblGrid>
        <w:gridCol w:w="3256"/>
        <w:gridCol w:w="6237"/>
      </w:tblGrid>
      <w:tr>
        <w:tblPrEx>
          <w:tblCellMar>
            <w:top w:w="0" w:type="dxa"/>
            <w:left w:w="108" w:type="dxa"/>
            <w:bottom w:w="0" w:type="dxa"/>
            <w:right w:w="108" w:type="dxa"/>
          </w:tblCellMar>
        </w:tblPrEx>
        <w:trPr>
          <w:trHeight w:val="340" w:hRule="atLeast"/>
        </w:trPr>
        <w:tc>
          <w:tcPr>
            <w:tcW w:w="3256" w:type="dxa"/>
            <w:tcBorders>
              <w:top w:val="single" w:color="auto" w:sz="4" w:space="0"/>
              <w:left w:val="single" w:color="auto" w:sz="4" w:space="0"/>
              <w:bottom w:val="single" w:color="auto" w:sz="4" w:space="0"/>
              <w:right w:val="single" w:color="auto" w:sz="4" w:space="0"/>
            </w:tcBorders>
            <w:shd w:val="clear" w:color="000000" w:fill="9BC2E6"/>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业务方向</w:t>
            </w:r>
          </w:p>
        </w:tc>
        <w:tc>
          <w:tcPr>
            <w:tcW w:w="6237" w:type="dxa"/>
            <w:tcBorders>
              <w:top w:val="single" w:color="auto" w:sz="4" w:space="0"/>
              <w:left w:val="nil"/>
              <w:bottom w:val="single" w:color="auto" w:sz="4" w:space="0"/>
              <w:right w:val="single" w:color="auto" w:sz="4" w:space="0"/>
            </w:tcBorders>
            <w:shd w:val="clear" w:color="000000" w:fill="9BC2E6"/>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岗位介绍</w:t>
            </w:r>
          </w:p>
        </w:tc>
      </w:tr>
      <w:tr>
        <w:tblPrEx>
          <w:tblCellMar>
            <w:top w:w="0" w:type="dxa"/>
            <w:left w:w="108" w:type="dxa"/>
            <w:bottom w:w="0" w:type="dxa"/>
            <w:right w:w="108" w:type="dxa"/>
          </w:tblCellMar>
        </w:tblPrEx>
        <w:trPr>
          <w:trHeight w:val="1360"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底层驱动开发</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基于 SoC 芯片底层驱动进行开发，面向 Kernel 进行各个模块的驱动定制开发、裁剪、优化。</w:t>
            </w:r>
          </w:p>
        </w:tc>
      </w:tr>
      <w:tr>
        <w:trPr>
          <w:trHeight w:val="1360"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Hypervisor 虚拟化开发</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基于Hypervisor 技术针对多核异构芯片进行底层操作系统相关开发和定制，将多个复杂操作系统从软件层面整合到单个硬件设备，提高交互的效率并确保各个操作系统独立安全运行。</w:t>
            </w:r>
          </w:p>
        </w:tc>
      </w:tr>
    </w:tbl>
    <w:p>
      <w:pPr>
        <w:spacing w:line="360" w:lineRule="auto"/>
        <w:rPr>
          <w:b/>
        </w:rPr>
      </w:pPr>
      <w:r>
        <w:rPr>
          <w:rFonts w:hint="eastAsia"/>
          <w:b/>
        </w:rPr>
        <w:t>5、先行研究工程师：</w:t>
      </w:r>
    </w:p>
    <w:tbl>
      <w:tblPr>
        <w:tblStyle w:val="6"/>
        <w:tblW w:w="9493" w:type="dxa"/>
        <w:tblInd w:w="113" w:type="dxa"/>
        <w:tblLayout w:type="autofit"/>
        <w:tblCellMar>
          <w:top w:w="0" w:type="dxa"/>
          <w:left w:w="108" w:type="dxa"/>
          <w:bottom w:w="0" w:type="dxa"/>
          <w:right w:w="108" w:type="dxa"/>
        </w:tblCellMar>
      </w:tblPr>
      <w:tblGrid>
        <w:gridCol w:w="3256"/>
        <w:gridCol w:w="6237"/>
      </w:tblGrid>
      <w:tr>
        <w:trPr>
          <w:trHeight w:val="340" w:hRule="atLeast"/>
        </w:trPr>
        <w:tc>
          <w:tcPr>
            <w:tcW w:w="3256" w:type="dxa"/>
            <w:tcBorders>
              <w:top w:val="single" w:color="auto" w:sz="4" w:space="0"/>
              <w:left w:val="single" w:color="auto" w:sz="4" w:space="0"/>
              <w:bottom w:val="single" w:color="auto" w:sz="4" w:space="0"/>
              <w:right w:val="single" w:color="auto" w:sz="4" w:space="0"/>
            </w:tcBorders>
            <w:shd w:val="clear" w:color="000000" w:fill="9BC2E6"/>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业务方向</w:t>
            </w:r>
          </w:p>
        </w:tc>
        <w:tc>
          <w:tcPr>
            <w:tcW w:w="6237" w:type="dxa"/>
            <w:tcBorders>
              <w:top w:val="single" w:color="auto" w:sz="4" w:space="0"/>
              <w:left w:val="nil"/>
              <w:bottom w:val="single" w:color="auto" w:sz="4" w:space="0"/>
              <w:right w:val="single" w:color="auto" w:sz="4" w:space="0"/>
            </w:tcBorders>
            <w:shd w:val="clear" w:color="000000" w:fill="9BC2E6"/>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岗位介绍</w:t>
            </w:r>
          </w:p>
        </w:tc>
      </w:tr>
      <w:tr>
        <w:tblPrEx>
          <w:tblCellMar>
            <w:top w:w="0" w:type="dxa"/>
            <w:left w:w="108" w:type="dxa"/>
            <w:bottom w:w="0" w:type="dxa"/>
            <w:right w:w="108" w:type="dxa"/>
          </w:tblCellMar>
        </w:tblPrEx>
        <w:trPr>
          <w:trHeight w:val="1359"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车联网与高阶自动驾驶</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对自动驾驶视觉传感器、毫米波雷达、激光雷达等目标算法进行设计研发； 自动驾驶环境感知、定位、预测推理的算法设计研发；自动驾驶运动规划、导航路径规划以及控制领域的算法设计研发。</w:t>
            </w:r>
          </w:p>
        </w:tc>
      </w:tr>
      <w:tr>
        <w:tblPrEx>
          <w:tblCellMar>
            <w:top w:w="0" w:type="dxa"/>
            <w:left w:w="108" w:type="dxa"/>
            <w:bottom w:w="0" w:type="dxa"/>
            <w:right w:w="108" w:type="dxa"/>
          </w:tblCellMar>
        </w:tblPrEx>
        <w:trPr>
          <w:trHeight w:val="1550" w:hRule="atLeast"/>
        </w:trPr>
        <w:tc>
          <w:tcPr>
            <w:tcW w:w="325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智能车载操作系统</w:t>
            </w:r>
          </w:p>
        </w:tc>
        <w:tc>
          <w:tcPr>
            <w:tcW w:w="623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基于未来智能汽车高度集成化趋势研发标准的车载基础软件平台及相关工具链，同时实现功能安全、网络安全等功能， 聚焦智能汽车发展方向，进行下一代智能汽车SOA架构下软件平台方案的研究与开发。</w:t>
            </w:r>
          </w:p>
        </w:tc>
      </w:tr>
    </w:tbl>
    <w:p>
      <w:pPr>
        <w:spacing w:line="360" w:lineRule="auto"/>
        <w:rPr>
          <w:b/>
          <w:bCs/>
        </w:rPr>
      </w:pPr>
    </w:p>
    <w:p>
      <w:pPr>
        <w:spacing w:line="360" w:lineRule="auto"/>
        <w:rPr>
          <w:rFonts w:cs="Arial" w:asciiTheme="minorEastAsia" w:hAnsiTheme="minorEastAsia"/>
          <w:szCs w:val="21"/>
        </w:rPr>
      </w:pPr>
      <w:r>
        <w:rPr>
          <w:rFonts w:hint="eastAsia" w:cs="Arial" w:asciiTheme="minorEastAsia" w:hAnsiTheme="minorEastAsia"/>
          <w:b/>
          <w:bCs/>
          <w:szCs w:val="21"/>
        </w:rPr>
        <w:t>工作地点：</w:t>
      </w:r>
      <w:r>
        <w:rPr>
          <w:rFonts w:hint="eastAsia" w:cs="Arial" w:asciiTheme="minorEastAsia" w:hAnsiTheme="minorEastAsia"/>
          <w:szCs w:val="21"/>
        </w:rPr>
        <w:t>上海、沈阳、大连</w:t>
      </w:r>
    </w:p>
    <w:p>
      <w:pPr>
        <w:spacing w:line="360" w:lineRule="auto"/>
        <w:rPr>
          <w:rFonts w:cs="Arial" w:asciiTheme="minorEastAsia" w:hAnsiTheme="minorEastAsia"/>
          <w:szCs w:val="21"/>
        </w:rPr>
      </w:pPr>
    </w:p>
    <w:bookmarkEnd w:id="0"/>
    <w:bookmarkEnd w:id="1"/>
    <w:p>
      <w:pPr>
        <w:spacing w:line="360" w:lineRule="auto"/>
        <w:rPr>
          <w:rFonts w:cs="Arial" w:asciiTheme="minorEastAsia" w:hAnsiTheme="minorEastAsia"/>
          <w:b/>
          <w:szCs w:val="21"/>
        </w:rPr>
      </w:pPr>
      <w:r>
        <w:rPr>
          <w:rFonts w:hint="eastAsia" w:cs="Arial" w:asciiTheme="minorEastAsia" w:hAnsiTheme="minorEastAsia"/>
          <w:b/>
          <w:szCs w:val="21"/>
        </w:rPr>
        <w:t>极具竞争力的全面薪酬福利体系：</w:t>
      </w:r>
      <w:r>
        <w:rPr>
          <w:rFonts w:cs="Arial" w:asciiTheme="minorEastAsia" w:hAnsiTheme="minorEastAsia"/>
          <w:b/>
          <w:szCs w:val="21"/>
        </w:rPr>
        <w:t>：</w:t>
      </w:r>
    </w:p>
    <w:p>
      <w:pPr>
        <w:spacing w:line="360" w:lineRule="auto"/>
        <w:rPr>
          <w:rFonts w:cs="Arial" w:asciiTheme="minorEastAsia" w:hAnsiTheme="minorEastAsia"/>
          <w:szCs w:val="21"/>
        </w:rPr>
      </w:pPr>
      <w:r>
        <w:rPr>
          <w:rFonts w:cs="Arial" w:asciiTheme="minorEastAsia" w:hAnsiTheme="minorEastAsia"/>
          <w:szCs w:val="21"/>
        </w:rPr>
        <w:t>1</w:t>
      </w:r>
      <w:r>
        <w:rPr>
          <w:rFonts w:hint="eastAsia" w:cs="Arial" w:asciiTheme="minorEastAsia" w:hAnsiTheme="minorEastAsia"/>
          <w:szCs w:val="21"/>
        </w:rPr>
        <w:t>．</w:t>
      </w:r>
      <w:r>
        <w:rPr>
          <w:rFonts w:cs="Arial" w:asciiTheme="minorEastAsia" w:hAnsiTheme="minorEastAsia"/>
          <w:szCs w:val="21"/>
        </w:rPr>
        <w:t>具有竞争力的薪资水平，</w:t>
      </w:r>
      <w:r>
        <w:rPr>
          <w:rFonts w:hint="eastAsia" w:cs="Arial" w:asciiTheme="minorEastAsia" w:hAnsiTheme="minorEastAsia"/>
          <w:szCs w:val="21"/>
        </w:rPr>
        <w:t>绩效奖金, 每年两次奖金发放以及</w:t>
      </w:r>
      <w:r>
        <w:rPr>
          <w:rFonts w:cs="Arial" w:asciiTheme="minorEastAsia" w:hAnsiTheme="minorEastAsia"/>
          <w:szCs w:val="21"/>
        </w:rPr>
        <w:t>年度调薪机会；</w:t>
      </w:r>
    </w:p>
    <w:p>
      <w:pPr>
        <w:spacing w:line="360" w:lineRule="auto"/>
        <w:rPr>
          <w:rFonts w:cs="Arial" w:asciiTheme="minorEastAsia" w:hAnsiTheme="minorEastAsia"/>
          <w:szCs w:val="21"/>
        </w:rPr>
      </w:pPr>
      <w:r>
        <w:rPr>
          <w:rFonts w:cs="Arial" w:asciiTheme="minorEastAsia" w:hAnsiTheme="minorEastAsia"/>
          <w:szCs w:val="21"/>
        </w:rPr>
        <w:t>2．国家规定的养老、医疗、工伤、失业、生育保险</w:t>
      </w:r>
      <w:r>
        <w:rPr>
          <w:rFonts w:hint="eastAsia" w:cs="Arial" w:asciiTheme="minorEastAsia" w:hAnsiTheme="minorEastAsia"/>
          <w:szCs w:val="21"/>
        </w:rPr>
        <w:t>和</w:t>
      </w:r>
      <w:r>
        <w:rPr>
          <w:rFonts w:cs="Arial" w:asciiTheme="minorEastAsia" w:hAnsiTheme="minorEastAsia"/>
          <w:szCs w:val="21"/>
        </w:rPr>
        <w:t>住房公积金</w:t>
      </w:r>
      <w:r>
        <w:rPr>
          <w:rFonts w:hint="eastAsia" w:cs="Arial" w:asciiTheme="minorEastAsia" w:hAnsiTheme="minorEastAsia"/>
          <w:szCs w:val="21"/>
        </w:rPr>
        <w:t>，补充住房公积金（上海地区）</w:t>
      </w:r>
      <w:r>
        <w:rPr>
          <w:rFonts w:cs="Arial" w:asciiTheme="minorEastAsia" w:hAnsiTheme="minorEastAsia"/>
          <w:szCs w:val="21"/>
        </w:rPr>
        <w:t>；</w:t>
      </w:r>
    </w:p>
    <w:p>
      <w:pPr>
        <w:spacing w:line="360" w:lineRule="auto"/>
        <w:rPr>
          <w:rFonts w:cs="Arial" w:asciiTheme="minorEastAsia" w:hAnsiTheme="minorEastAsia"/>
          <w:szCs w:val="21"/>
        </w:rPr>
      </w:pPr>
      <w:r>
        <w:rPr>
          <w:rFonts w:cs="Arial" w:asciiTheme="minorEastAsia" w:hAnsiTheme="minorEastAsia"/>
          <w:szCs w:val="21"/>
        </w:rPr>
        <w:t>3．除了国家规定的法定年休假，员工享有</w:t>
      </w:r>
      <w:r>
        <w:rPr>
          <w:rFonts w:hint="eastAsia" w:cs="Arial" w:asciiTheme="minorEastAsia" w:hAnsiTheme="minorEastAsia"/>
          <w:szCs w:val="21"/>
        </w:rPr>
        <w:t>公司福利</w:t>
      </w:r>
      <w:r>
        <w:rPr>
          <w:rFonts w:cs="Arial" w:asciiTheme="minorEastAsia" w:hAnsiTheme="minorEastAsia"/>
          <w:szCs w:val="21"/>
        </w:rPr>
        <w:t>带薪假期，并随着司龄增长相应增加；</w:t>
      </w:r>
    </w:p>
    <w:p>
      <w:pPr>
        <w:spacing w:line="360" w:lineRule="auto"/>
        <w:rPr>
          <w:rFonts w:cs="Arial" w:asciiTheme="minorEastAsia" w:hAnsiTheme="minorEastAsia"/>
          <w:szCs w:val="21"/>
        </w:rPr>
      </w:pPr>
      <w:r>
        <w:rPr>
          <w:rFonts w:cs="Arial" w:asciiTheme="minorEastAsia" w:hAnsiTheme="minorEastAsia"/>
          <w:szCs w:val="21"/>
        </w:rPr>
        <w:t>4．补充商业医疗保险</w:t>
      </w:r>
      <w:r>
        <w:rPr>
          <w:rFonts w:hint="eastAsia" w:cs="Arial" w:asciiTheme="minorEastAsia" w:hAnsiTheme="minorEastAsia"/>
          <w:szCs w:val="21"/>
        </w:rPr>
        <w:t>（本人、配偶、子女），住院、门诊费用均无压力</w:t>
      </w:r>
      <w:r>
        <w:rPr>
          <w:rFonts w:cs="Arial" w:asciiTheme="minorEastAsia" w:hAnsiTheme="minorEastAsia"/>
          <w:szCs w:val="21"/>
        </w:rPr>
        <w:t>；</w:t>
      </w:r>
    </w:p>
    <w:p>
      <w:pPr>
        <w:spacing w:line="360" w:lineRule="auto"/>
        <w:rPr>
          <w:rFonts w:cs="Arial" w:asciiTheme="minorEastAsia" w:hAnsiTheme="minorEastAsia"/>
          <w:szCs w:val="21"/>
        </w:rPr>
      </w:pPr>
      <w:r>
        <w:rPr>
          <w:rFonts w:cs="Arial" w:asciiTheme="minorEastAsia" w:hAnsiTheme="minorEastAsia"/>
          <w:szCs w:val="21"/>
        </w:rPr>
        <w:t>5．形式多样的团队活动</w:t>
      </w:r>
      <w:r>
        <w:rPr>
          <w:rFonts w:hint="eastAsia" w:cs="Arial" w:asciiTheme="minorEastAsia" w:hAnsiTheme="minorEastAsia"/>
          <w:szCs w:val="21"/>
        </w:rPr>
        <w:t>、</w:t>
      </w:r>
      <w:r>
        <w:rPr>
          <w:rFonts w:cs="Arial" w:asciiTheme="minorEastAsia" w:hAnsiTheme="minorEastAsia"/>
          <w:szCs w:val="21"/>
        </w:rPr>
        <w:t>年会聚餐</w:t>
      </w:r>
      <w:r>
        <w:rPr>
          <w:rFonts w:hint="eastAsia" w:cs="Arial" w:asciiTheme="minorEastAsia" w:hAnsiTheme="minorEastAsia"/>
          <w:szCs w:val="21"/>
        </w:rPr>
        <w:t>和</w:t>
      </w:r>
      <w:r>
        <w:rPr>
          <w:rFonts w:cs="Arial" w:asciiTheme="minorEastAsia" w:hAnsiTheme="minorEastAsia"/>
          <w:szCs w:val="21"/>
        </w:rPr>
        <w:t>兴趣爱好小组；</w:t>
      </w:r>
    </w:p>
    <w:p>
      <w:pPr>
        <w:spacing w:line="360" w:lineRule="auto"/>
        <w:rPr>
          <w:rFonts w:cs="Arial" w:asciiTheme="minorEastAsia" w:hAnsiTheme="minorEastAsia"/>
          <w:szCs w:val="21"/>
        </w:rPr>
      </w:pPr>
      <w:r>
        <w:rPr>
          <w:rFonts w:cs="Arial" w:asciiTheme="minorEastAsia" w:hAnsiTheme="minorEastAsia"/>
          <w:szCs w:val="21"/>
        </w:rPr>
        <w:t>6．协助办理户籍申请和居住证</w:t>
      </w:r>
      <w:r>
        <w:rPr>
          <w:rFonts w:hint="eastAsia" w:cs="Arial" w:asciiTheme="minorEastAsia" w:hAnsiTheme="minorEastAsia"/>
          <w:szCs w:val="21"/>
        </w:rPr>
        <w:t>（上海/沈阳/大连）；</w:t>
      </w:r>
    </w:p>
    <w:p>
      <w:pPr>
        <w:spacing w:line="360" w:lineRule="auto"/>
        <w:rPr>
          <w:rFonts w:cs="Arial" w:asciiTheme="minorEastAsia" w:hAnsiTheme="minorEastAsia"/>
          <w:szCs w:val="21"/>
        </w:rPr>
      </w:pPr>
      <w:r>
        <w:rPr>
          <w:rFonts w:hint="eastAsia" w:cs="Arial" w:asciiTheme="minorEastAsia" w:hAnsiTheme="minorEastAsia"/>
          <w:szCs w:val="21"/>
        </w:rPr>
        <w:t>7. 节日福利发放；</w:t>
      </w:r>
    </w:p>
    <w:p>
      <w:pPr>
        <w:spacing w:line="360" w:lineRule="auto"/>
        <w:rPr>
          <w:rFonts w:cs="Arial" w:asciiTheme="minorEastAsia" w:hAnsiTheme="minorEastAsia"/>
          <w:szCs w:val="21"/>
        </w:rPr>
      </w:pPr>
      <w:r>
        <w:rPr>
          <w:rFonts w:hint="eastAsia" w:cs="Arial" w:asciiTheme="minorEastAsia" w:hAnsiTheme="minorEastAsia"/>
          <w:szCs w:val="21"/>
        </w:rPr>
        <w:t>8. 年度福利体检。</w:t>
      </w:r>
    </w:p>
    <w:p>
      <w:pPr>
        <w:spacing w:line="360" w:lineRule="auto"/>
        <w:rPr>
          <w:rFonts w:cs="Arial" w:asciiTheme="minorEastAsia" w:hAnsiTheme="minorEastAsia"/>
          <w:szCs w:val="21"/>
        </w:rPr>
      </w:pPr>
    </w:p>
    <w:p>
      <w:pPr>
        <w:spacing w:line="360" w:lineRule="auto"/>
        <w:rPr>
          <w:rFonts w:cs="Arial" w:asciiTheme="minorEastAsia" w:hAnsiTheme="minorEastAsia"/>
          <w:b/>
          <w:szCs w:val="21"/>
        </w:rPr>
      </w:pPr>
      <w:r>
        <w:rPr>
          <w:rFonts w:hint="eastAsia" w:cs="Arial" w:asciiTheme="minorEastAsia" w:hAnsiTheme="minorEastAsia"/>
          <w:b/>
          <w:szCs w:val="21"/>
        </w:rPr>
        <w:t xml:space="preserve">全链条人才发展培养体系： </w:t>
      </w:r>
    </w:p>
    <w:p>
      <w:pPr>
        <w:spacing w:line="360" w:lineRule="auto"/>
        <w:rPr>
          <w:rFonts w:cs="Arial" w:asciiTheme="minorEastAsia" w:hAnsiTheme="minorEastAsia"/>
          <w:bCs/>
          <w:szCs w:val="21"/>
        </w:rPr>
      </w:pPr>
      <w:r>
        <w:rPr>
          <w:rFonts w:hint="eastAsia" w:cs="Arial" w:asciiTheme="minorEastAsia" w:hAnsiTheme="minorEastAsia"/>
          <w:bCs/>
          <w:szCs w:val="21"/>
        </w:rPr>
        <w:t>1．新人训练营：导师负责制、技能训练、项目实践，体验小白到大神成长之旅；</w:t>
      </w:r>
    </w:p>
    <w:p>
      <w:pPr>
        <w:spacing w:line="360" w:lineRule="auto"/>
        <w:rPr>
          <w:rFonts w:cs="Arial" w:asciiTheme="minorEastAsia" w:hAnsiTheme="minorEastAsia"/>
          <w:bCs/>
          <w:szCs w:val="21"/>
        </w:rPr>
      </w:pPr>
      <w:r>
        <w:rPr>
          <w:rFonts w:hint="eastAsia" w:cs="Arial" w:asciiTheme="minorEastAsia" w:hAnsiTheme="minorEastAsia"/>
          <w:bCs/>
          <w:szCs w:val="21"/>
        </w:rPr>
        <w:t>2．专业技能培养：专项技术、专业认证培训，技术主题沙龙，助力成为未来领域专家；</w:t>
      </w:r>
    </w:p>
    <w:p>
      <w:pPr>
        <w:spacing w:line="360" w:lineRule="auto"/>
        <w:rPr>
          <w:rFonts w:cs="Arial" w:asciiTheme="minorEastAsia" w:hAnsiTheme="minorEastAsia"/>
          <w:bCs/>
          <w:szCs w:val="21"/>
        </w:rPr>
      </w:pPr>
      <w:r>
        <w:rPr>
          <w:rFonts w:hint="eastAsia" w:cs="Arial" w:asciiTheme="minorEastAsia" w:hAnsiTheme="minorEastAsia"/>
          <w:bCs/>
          <w:szCs w:val="21"/>
        </w:rPr>
        <w:t>3．领军人才培养：架构师、项目经理、产品经理、功能安全经理等全面技术方向领军人才发展；</w:t>
      </w:r>
    </w:p>
    <w:p>
      <w:pPr>
        <w:spacing w:line="360" w:lineRule="auto"/>
        <w:rPr>
          <w:rFonts w:cs="Arial" w:asciiTheme="minorEastAsia" w:hAnsiTheme="minorEastAsia"/>
          <w:bCs/>
          <w:szCs w:val="21"/>
        </w:rPr>
      </w:pPr>
      <w:r>
        <w:rPr>
          <w:rFonts w:hint="eastAsia" w:cs="Arial" w:asciiTheme="minorEastAsia" w:hAnsiTheme="minorEastAsia"/>
          <w:bCs/>
          <w:szCs w:val="21"/>
        </w:rPr>
        <w:t>4．领导力培养：基层、中层、高层、团队级领导力培养，成就你的将帅之才。</w:t>
      </w:r>
    </w:p>
    <w:p>
      <w:pPr>
        <w:spacing w:line="360" w:lineRule="auto"/>
        <w:rPr>
          <w:rFonts w:cs="Arial"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公司地址：</w:t>
      </w:r>
    </w:p>
    <w:p>
      <w:pPr>
        <w:spacing w:line="360" w:lineRule="auto"/>
        <w:rPr>
          <w:rFonts w:asciiTheme="minorEastAsia" w:hAnsiTheme="minorEastAsia"/>
          <w:szCs w:val="21"/>
        </w:rPr>
      </w:pPr>
      <w:r>
        <w:rPr>
          <w:rFonts w:hint="eastAsia" w:asciiTheme="minorEastAsia" w:hAnsiTheme="minorEastAsia"/>
          <w:szCs w:val="21"/>
        </w:rPr>
        <w:t>上海公司地址：上海市黄浦区淮海中路775号新华联大厦西楼17F</w:t>
      </w:r>
    </w:p>
    <w:p>
      <w:pPr>
        <w:spacing w:line="360" w:lineRule="auto"/>
      </w:pPr>
      <w:r>
        <w:rPr>
          <w:rFonts w:hint="eastAsia"/>
        </w:rPr>
        <w:t>沈阳公司地址：沈阳市沈河区青年大街167号北方国际传媒中心</w:t>
      </w:r>
      <w:r>
        <w:rPr>
          <w:rFonts w:hint="eastAsia" w:asciiTheme="minorEastAsia" w:hAnsiTheme="minorEastAsia"/>
          <w:szCs w:val="21"/>
        </w:rPr>
        <w:t>17F</w:t>
      </w:r>
    </w:p>
    <w:p>
      <w:pPr>
        <w:spacing w:line="360" w:lineRule="auto"/>
      </w:pPr>
      <w:r>
        <w:rPr>
          <w:rFonts w:hint="eastAsia"/>
        </w:rPr>
        <w:t>大连公司地址：大连市高新园区汇贤园七号腾飞园二期四楼西</w:t>
      </w:r>
    </w:p>
    <w:p>
      <w:pPr>
        <w:spacing w:line="360" w:lineRule="auto"/>
      </w:pPr>
    </w:p>
    <w:p>
      <w:pPr>
        <w:rPr>
          <w:rFonts w:cs="Arial" w:asciiTheme="minorEastAsia" w:hAnsiTheme="minorEastAsia"/>
          <w:b/>
          <w:szCs w:val="21"/>
        </w:rPr>
      </w:pPr>
      <w:r>
        <w:rPr>
          <w:rFonts w:hint="eastAsia" w:cs="Arial" w:asciiTheme="minorEastAsia" w:hAnsiTheme="minorEastAsia"/>
          <w:b/>
          <w:szCs w:val="21"/>
        </w:rPr>
        <w:t>公司官网：</w:t>
      </w:r>
    </w:p>
    <w:p>
      <w:pPr>
        <w:spacing w:line="360" w:lineRule="auto"/>
        <w:rPr>
          <w:sz w:val="24"/>
          <w:szCs w:val="24"/>
        </w:rPr>
      </w:pPr>
      <w:r>
        <w:fldChar w:fldCharType="begin"/>
      </w:r>
      <w:r>
        <w:instrText xml:space="preserve"> HYPERLINK "http://www.iauto.com" </w:instrText>
      </w:r>
      <w:r>
        <w:fldChar w:fldCharType="separate"/>
      </w:r>
      <w:r>
        <w:rPr>
          <w:rStyle w:val="9"/>
          <w:rFonts w:hint="eastAsia"/>
          <w:sz w:val="24"/>
          <w:szCs w:val="24"/>
        </w:rPr>
        <w:t>www.iauto.com</w:t>
      </w:r>
      <w:r>
        <w:rPr>
          <w:rStyle w:val="9"/>
          <w:rFonts w:hint="eastAsia"/>
          <w:sz w:val="24"/>
          <w:szCs w:val="24"/>
        </w:rPr>
        <w:fldChar w:fldCharType="end"/>
      </w:r>
    </w:p>
    <w:p>
      <w:pPr>
        <w:spacing w:line="360" w:lineRule="auto"/>
        <w:jc w:val="left"/>
        <w:rPr>
          <w:sz w:val="24"/>
          <w:szCs w:val="24"/>
        </w:rPr>
      </w:pPr>
    </w:p>
    <w:p>
      <w:pPr>
        <w:jc w:val="left"/>
        <w:rPr>
          <w:rFonts w:cs="Arial" w:asciiTheme="minorEastAsia" w:hAnsiTheme="minorEastAsia"/>
          <w:b/>
          <w:szCs w:val="21"/>
        </w:rPr>
      </w:pPr>
      <w:r>
        <w:rPr>
          <w:rFonts w:hint="eastAsia" w:cs="Arial" w:asciiTheme="minorEastAsia" w:hAnsiTheme="minorEastAsia"/>
          <w:b/>
          <w:szCs w:val="21"/>
        </w:rPr>
        <w:t>公司官方微信公众号：</w:t>
      </w:r>
    </w:p>
    <w:p>
      <w:pPr>
        <w:spacing w:line="360" w:lineRule="auto"/>
        <w:jc w:val="left"/>
        <w:rPr>
          <w:rFonts w:cs="Arial" w:asciiTheme="minorEastAsia" w:hAnsiTheme="minorEastAsia"/>
          <w:szCs w:val="21"/>
        </w:rPr>
      </w:pPr>
      <w:r>
        <w:rPr>
          <w:rFonts w:cs="Arial" w:asciiTheme="minorEastAsia" w:hAnsiTheme="minorEastAsia"/>
          <w:szCs w:val="21"/>
        </w:rPr>
        <w:drawing>
          <wp:inline distT="0" distB="0" distL="0" distR="0">
            <wp:extent cx="1495425" cy="1573530"/>
            <wp:effectExtent l="19050" t="0" r="9525" b="0"/>
            <wp:docPr id="12" name="图片 8" descr="微信图片_20170703101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微信图片_20170703101009.png"/>
                    <pic:cNvPicPr>
                      <a:picLocks noChangeAspect="1"/>
                    </pic:cNvPicPr>
                  </pic:nvPicPr>
                  <pic:blipFill>
                    <a:blip r:embed="rId8" cstate="print"/>
                    <a:srcRect l="5442" r="3401" b="4082"/>
                    <a:stretch>
                      <a:fillRect/>
                    </a:stretch>
                  </pic:blipFill>
                  <pic:spPr>
                    <a:xfrm>
                      <a:off x="0" y="0"/>
                      <a:ext cx="1504519" cy="1583113"/>
                    </a:xfrm>
                    <a:prstGeom prst="rect">
                      <a:avLst/>
                    </a:prstGeom>
                  </pic:spPr>
                </pic:pic>
              </a:graphicData>
            </a:graphic>
          </wp:inline>
        </w:drawing>
      </w:r>
    </w:p>
    <w:p>
      <w:pPr>
        <w:jc w:val="left"/>
        <w:rPr>
          <w:rFonts w:cs="Arial" w:asciiTheme="minorEastAsia" w:hAnsiTheme="minorEastAsia"/>
          <w:b/>
          <w:szCs w:val="21"/>
        </w:rPr>
      </w:pPr>
    </w:p>
    <w:p>
      <w:pPr>
        <w:jc w:val="left"/>
        <w:rPr>
          <w:rFonts w:cs="Arial" w:asciiTheme="minorEastAsia" w:hAnsiTheme="minorEastAsia"/>
          <w:b/>
          <w:szCs w:val="21"/>
        </w:rPr>
      </w:pPr>
    </w:p>
    <w:p>
      <w:pPr>
        <w:jc w:val="left"/>
        <w:rPr>
          <w:rFonts w:cs="Arial" w:asciiTheme="minorEastAsia" w:hAnsiTheme="minorEastAsia"/>
          <w:b/>
          <w:szCs w:val="21"/>
        </w:rPr>
      </w:pPr>
    </w:p>
    <w:p>
      <w:pPr>
        <w:jc w:val="left"/>
        <w:rPr>
          <w:rFonts w:cs="Arial" w:asciiTheme="minorEastAsia" w:hAnsiTheme="minorEastAsia"/>
          <w:b/>
          <w:szCs w:val="21"/>
        </w:rPr>
      </w:pPr>
      <w:r>
        <w:rPr>
          <w:rFonts w:hint="eastAsia" w:cs="Arial" w:asciiTheme="minorEastAsia" w:hAnsiTheme="minorEastAsia"/>
          <w:b/>
          <w:szCs w:val="21"/>
        </w:rPr>
        <w:t>202</w:t>
      </w:r>
      <w:r>
        <w:rPr>
          <w:rFonts w:cs="Arial" w:asciiTheme="minorEastAsia" w:hAnsiTheme="minorEastAsia"/>
          <w:b/>
          <w:szCs w:val="21"/>
        </w:rPr>
        <w:t>2</w:t>
      </w:r>
      <w:r>
        <w:rPr>
          <w:rFonts w:hint="eastAsia" w:cs="Arial" w:asciiTheme="minorEastAsia" w:hAnsiTheme="minorEastAsia"/>
          <w:b/>
          <w:szCs w:val="21"/>
        </w:rPr>
        <w:t>届校招网申通道：</w:t>
      </w:r>
    </w:p>
    <w:p>
      <w:pPr>
        <w:pStyle w:val="15"/>
        <w:numPr>
          <w:ilvl w:val="0"/>
          <w:numId w:val="1"/>
        </w:numPr>
        <w:spacing w:line="360" w:lineRule="auto"/>
        <w:ind w:left="357" w:hanging="357" w:firstLineChars="0"/>
        <w:jc w:val="left"/>
        <w:rPr>
          <w:rFonts w:cs="微软雅黑" w:asciiTheme="majorEastAsia" w:hAnsiTheme="majorEastAsia" w:eastAsiaTheme="majorEastAsia"/>
          <w:color w:val="333333"/>
          <w:spacing w:val="15"/>
          <w:szCs w:val="21"/>
          <w:shd w:val="clear" w:color="auto" w:fill="FFFFFF"/>
        </w:rPr>
      </w:pPr>
      <w:r>
        <w:rPr>
          <w:rFonts w:hint="eastAsia" w:cs="微软雅黑" w:asciiTheme="majorEastAsia" w:hAnsiTheme="majorEastAsia" w:eastAsiaTheme="majorEastAsia"/>
          <w:color w:val="333333"/>
          <w:spacing w:val="15"/>
          <w:szCs w:val="21"/>
          <w:shd w:val="clear" w:color="auto" w:fill="FFFFFF"/>
        </w:rPr>
        <w:t>校招</w:t>
      </w:r>
      <w:r>
        <w:rPr>
          <w:rFonts w:cs="微软雅黑" w:asciiTheme="majorEastAsia" w:hAnsiTheme="majorEastAsia" w:eastAsiaTheme="majorEastAsia"/>
          <w:color w:val="333333"/>
          <w:spacing w:val="15"/>
          <w:szCs w:val="21"/>
          <w:shd w:val="clear" w:color="auto" w:fill="FFFFFF"/>
        </w:rPr>
        <w:t>网址</w:t>
      </w:r>
      <w:r>
        <w:rPr>
          <w:rFonts w:hint="eastAsia" w:cs="微软雅黑" w:asciiTheme="majorEastAsia" w:hAnsiTheme="majorEastAsia" w:eastAsiaTheme="majorEastAsia"/>
          <w:color w:val="333333"/>
          <w:spacing w:val="15"/>
          <w:szCs w:val="21"/>
          <w:shd w:val="clear" w:color="auto" w:fill="FFFFFF"/>
        </w:rPr>
        <w:t>：</w:t>
      </w:r>
      <w:r>
        <w:fldChar w:fldCharType="begin"/>
      </w:r>
      <w:r>
        <w:instrText xml:space="preserve"> HYPERLINK "http://iauto.zhiye.com/Campus" </w:instrText>
      </w:r>
      <w:r>
        <w:fldChar w:fldCharType="separate"/>
      </w:r>
      <w:r>
        <w:rPr>
          <w:rStyle w:val="9"/>
          <w:rFonts w:cs="微软雅黑" w:asciiTheme="majorEastAsia" w:hAnsiTheme="majorEastAsia" w:eastAsiaTheme="majorEastAsia"/>
          <w:spacing w:val="15"/>
          <w:szCs w:val="21"/>
          <w:shd w:val="clear" w:color="auto" w:fill="FFFFFF"/>
        </w:rPr>
        <w:t>http://iauto.zhiye.com/Campus</w:t>
      </w:r>
      <w:r>
        <w:rPr>
          <w:rStyle w:val="9"/>
          <w:rFonts w:cs="微软雅黑" w:asciiTheme="majorEastAsia" w:hAnsiTheme="majorEastAsia" w:eastAsiaTheme="majorEastAsia"/>
          <w:spacing w:val="15"/>
          <w:szCs w:val="21"/>
          <w:shd w:val="clear" w:color="auto" w:fill="FFFFFF"/>
        </w:rPr>
        <w:fldChar w:fldCharType="end"/>
      </w:r>
    </w:p>
    <w:p>
      <w:pPr>
        <w:pStyle w:val="15"/>
        <w:numPr>
          <w:ilvl w:val="0"/>
          <w:numId w:val="1"/>
        </w:numPr>
        <w:spacing w:line="360" w:lineRule="auto"/>
        <w:ind w:left="357" w:hanging="357" w:firstLineChars="0"/>
        <w:jc w:val="left"/>
        <w:rPr>
          <w:rFonts w:cs="Arial" w:asciiTheme="majorEastAsia" w:hAnsiTheme="majorEastAsia" w:eastAsiaTheme="majorEastAsia"/>
          <w:b/>
          <w:szCs w:val="21"/>
        </w:rPr>
      </w:pPr>
      <w:r>
        <w:rPr>
          <w:rFonts w:hint="eastAsia" w:cs="微软雅黑" w:asciiTheme="majorEastAsia" w:hAnsiTheme="majorEastAsia" w:eastAsiaTheme="majorEastAsia"/>
          <w:color w:val="333333"/>
          <w:spacing w:val="15"/>
          <w:szCs w:val="21"/>
          <w:shd w:val="clear" w:color="auto" w:fill="FFFFFF"/>
        </w:rPr>
        <w:t>扫描下方二维码：</w:t>
      </w:r>
    </w:p>
    <w:p>
      <w:pPr>
        <w:spacing w:line="360" w:lineRule="auto"/>
        <w:jc w:val="left"/>
        <w:rPr>
          <w:rFonts w:cs="Arial" w:asciiTheme="minorEastAsia" w:hAnsiTheme="minorEastAsia"/>
          <w:szCs w:val="21"/>
        </w:rPr>
      </w:pPr>
      <w:r>
        <w:drawing>
          <wp:inline distT="0" distB="0" distL="114300" distR="114300">
            <wp:extent cx="1440815" cy="1549400"/>
            <wp:effectExtent l="0" t="0" r="6985" b="12700"/>
            <wp:docPr id="8" name="图片 7" descr="校招网申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校招网申二维码"/>
                    <pic:cNvPicPr>
                      <a:picLocks noChangeAspect="1"/>
                    </pic:cNvPicPr>
                  </pic:nvPicPr>
                  <pic:blipFill>
                    <a:blip r:embed="rId9" cstate="print"/>
                    <a:stretch>
                      <a:fillRect/>
                    </a:stretch>
                  </pic:blipFill>
                  <pic:spPr>
                    <a:xfrm>
                      <a:off x="0" y="0"/>
                      <a:ext cx="1440815" cy="1549400"/>
                    </a:xfrm>
                    <a:prstGeom prst="rect">
                      <a:avLst/>
                    </a:prstGeom>
                  </pic:spPr>
                </pic:pic>
              </a:graphicData>
            </a:graphic>
          </wp:inline>
        </w:drawing>
      </w:r>
    </w:p>
    <w:p>
      <w:pPr>
        <w:pStyle w:val="15"/>
        <w:numPr>
          <w:ilvl w:val="0"/>
          <w:numId w:val="1"/>
        </w:numPr>
        <w:spacing w:line="360" w:lineRule="auto"/>
        <w:ind w:firstLineChars="0"/>
        <w:jc w:val="left"/>
        <w:rPr>
          <w:rFonts w:cs="Arial" w:asciiTheme="minorEastAsia" w:hAnsiTheme="minorEastAsia"/>
          <w:szCs w:val="21"/>
        </w:rPr>
      </w:pPr>
      <w:r>
        <w:rPr>
          <w:rFonts w:hint="eastAsia" w:cs="Arial" w:asciiTheme="minorEastAsia" w:hAnsiTheme="minorEastAsia"/>
          <w:szCs w:val="21"/>
        </w:rPr>
        <w:t>HR邮箱：</w:t>
      </w:r>
      <w:r>
        <w:rPr>
          <w:rFonts w:hint="eastAsia" w:cs="Arial" w:asciiTheme="minorEastAsia" w:hAnsiTheme="minorEastAsia"/>
          <w:szCs w:val="21"/>
          <w:lang w:val="en-US" w:eastAsia="zh-CN"/>
        </w:rPr>
        <w:t>yangjun5</w:t>
      </w:r>
      <w:r>
        <w:rPr>
          <w:rFonts w:hint="eastAsia" w:cs="Arial" w:asciiTheme="minorEastAsia" w:hAnsiTheme="minorEastAsia"/>
          <w:szCs w:val="21"/>
        </w:rPr>
        <w:t>@iauto.com（</w:t>
      </w:r>
      <w:r>
        <w:rPr>
          <w:rFonts w:hint="eastAsia" w:cs="Arial" w:asciiTheme="minorEastAsia" w:hAnsiTheme="minorEastAsia"/>
          <w:szCs w:val="21"/>
          <w:lang w:val="en-US" w:eastAsia="zh-CN"/>
        </w:rPr>
        <w:t>杨</w:t>
      </w:r>
      <w:bookmarkStart w:id="2" w:name="_GoBack"/>
      <w:bookmarkEnd w:id="2"/>
      <w:r>
        <w:rPr>
          <w:rFonts w:hint="eastAsia" w:cs="Arial" w:asciiTheme="minorEastAsia" w:hAnsiTheme="minorEastAsia"/>
          <w:szCs w:val="21"/>
        </w:rPr>
        <w:t>老师）</w:t>
      </w:r>
    </w:p>
    <w:p>
      <w:pPr>
        <w:spacing w:line="360" w:lineRule="auto"/>
        <w:jc w:val="left"/>
        <w:rPr>
          <w:rFonts w:cs="Arial" w:asciiTheme="minorEastAsia" w:hAnsiTheme="minorEastAsia"/>
          <w:szCs w:val="21"/>
        </w:rPr>
      </w:pPr>
    </w:p>
    <w:p>
      <w:pPr>
        <w:spacing w:line="360" w:lineRule="auto"/>
        <w:jc w:val="left"/>
        <w:rPr>
          <w:rFonts w:cs="Arial" w:asciiTheme="minorEastAsia" w:hAnsiTheme="minorEastAsia"/>
          <w:szCs w:val="21"/>
        </w:rPr>
      </w:pPr>
    </w:p>
    <w:p>
      <w:pPr>
        <w:pStyle w:val="5"/>
        <w:spacing w:before="0" w:beforeAutospacing="0" w:after="0" w:afterAutospacing="0"/>
        <w:rPr>
          <w:color w:val="000000"/>
          <w:sz w:val="21"/>
          <w:szCs w:val="21"/>
        </w:rPr>
      </w:pPr>
    </w:p>
    <w:sectPr>
      <w:headerReference r:id="rId5" w:type="first"/>
      <w:headerReference r:id="rId3" w:type="default"/>
      <w:footerReference r:id="rId6" w:type="default"/>
      <w:headerReference r:id="rId4" w:type="even"/>
      <w:pgSz w:w="11906" w:h="16838"/>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drawing>
        <wp:inline distT="0" distB="0" distL="0" distR="0">
          <wp:extent cx="1267460" cy="379095"/>
          <wp:effectExtent l="19050" t="0" r="8379" b="0"/>
          <wp:docPr id="18"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720"/>
      <w:jc w:val="both"/>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3714115" cy="1114425"/>
          <wp:effectExtent l="0" t="0" r="635" b="9525"/>
          <wp:wrapNone/>
          <wp:docPr id="5" name="WordPictureWatermark23465329"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3465329"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r>
      <w:drawing>
        <wp:inline distT="0" distB="0" distL="0" distR="0">
          <wp:extent cx="1267460" cy="379095"/>
          <wp:effectExtent l="19050" t="0" r="8379" b="0"/>
          <wp:docPr id="1"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r>
      <w:drawing>
        <wp:inline distT="0" distB="0" distL="0" distR="0">
          <wp:extent cx="5270500" cy="5270500"/>
          <wp:effectExtent l="19050" t="0" r="6350" b="0"/>
          <wp:docPr id="2" name="图片 2" descr="C:\yangyijun\yangyijun\公司资料\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yangyijun\yangyijun\公司资料\logo.jpg"/>
                  <pic:cNvPicPr>
                    <a:picLocks noChangeAspect="1" noChangeArrowheads="1"/>
                  </pic:cNvPicPr>
                </pic:nvPicPr>
                <pic:blipFill>
                  <a:blip r:embed="rId2"/>
                  <a:srcRect/>
                  <a:stretch>
                    <a:fillRect/>
                  </a:stretch>
                </pic:blipFill>
                <pic:spPr>
                  <a:xfrm>
                    <a:off x="0" y="0"/>
                    <a:ext cx="5270500" cy="52705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3714115" cy="1114425"/>
          <wp:effectExtent l="0" t="0" r="635" b="9525"/>
          <wp:wrapNone/>
          <wp:docPr id="4" name="WordPictureWatermark23465328"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3465328"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3714115" cy="1114425"/>
          <wp:effectExtent l="0" t="0" r="635" b="9525"/>
          <wp:wrapNone/>
          <wp:docPr id="3" name="WordPictureWatermark23465327"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3465327"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91CD1"/>
    <w:multiLevelType w:val="multilevel"/>
    <w:tmpl w:val="0E091CD1"/>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78A5"/>
    <w:rsid w:val="00017839"/>
    <w:rsid w:val="00034EDA"/>
    <w:rsid w:val="00061C56"/>
    <w:rsid w:val="00074BAC"/>
    <w:rsid w:val="00097485"/>
    <w:rsid w:val="000A0750"/>
    <w:rsid w:val="000B7B72"/>
    <w:rsid w:val="000C575C"/>
    <w:rsid w:val="000E7802"/>
    <w:rsid w:val="000F1814"/>
    <w:rsid w:val="000F1967"/>
    <w:rsid w:val="001140B8"/>
    <w:rsid w:val="001654DE"/>
    <w:rsid w:val="00176DA6"/>
    <w:rsid w:val="0019723A"/>
    <w:rsid w:val="001A204C"/>
    <w:rsid w:val="001B01AB"/>
    <w:rsid w:val="001C08B9"/>
    <w:rsid w:val="001C6B71"/>
    <w:rsid w:val="001C7059"/>
    <w:rsid w:val="001D4CB3"/>
    <w:rsid w:val="00214EEE"/>
    <w:rsid w:val="00215515"/>
    <w:rsid w:val="00232B40"/>
    <w:rsid w:val="002444A4"/>
    <w:rsid w:val="00245C7A"/>
    <w:rsid w:val="00261A76"/>
    <w:rsid w:val="00276D91"/>
    <w:rsid w:val="002B52E8"/>
    <w:rsid w:val="002C3C1D"/>
    <w:rsid w:val="002D24AB"/>
    <w:rsid w:val="002F4B54"/>
    <w:rsid w:val="002F6B8D"/>
    <w:rsid w:val="00307CD4"/>
    <w:rsid w:val="003233C2"/>
    <w:rsid w:val="00325A72"/>
    <w:rsid w:val="00325EFC"/>
    <w:rsid w:val="00345293"/>
    <w:rsid w:val="00382671"/>
    <w:rsid w:val="00391208"/>
    <w:rsid w:val="0039633C"/>
    <w:rsid w:val="003964CB"/>
    <w:rsid w:val="003973BF"/>
    <w:rsid w:val="003A0698"/>
    <w:rsid w:val="003E34AB"/>
    <w:rsid w:val="004111E5"/>
    <w:rsid w:val="00414DD9"/>
    <w:rsid w:val="004311DD"/>
    <w:rsid w:val="00432E5D"/>
    <w:rsid w:val="00433DF7"/>
    <w:rsid w:val="00446912"/>
    <w:rsid w:val="00465678"/>
    <w:rsid w:val="0047335F"/>
    <w:rsid w:val="004842A9"/>
    <w:rsid w:val="00490EAB"/>
    <w:rsid w:val="004B5A1F"/>
    <w:rsid w:val="0050288C"/>
    <w:rsid w:val="0050347A"/>
    <w:rsid w:val="00507FDB"/>
    <w:rsid w:val="00513FEA"/>
    <w:rsid w:val="00514D7E"/>
    <w:rsid w:val="00524053"/>
    <w:rsid w:val="00534AD8"/>
    <w:rsid w:val="00540CC7"/>
    <w:rsid w:val="00553868"/>
    <w:rsid w:val="00567CFB"/>
    <w:rsid w:val="00585B6F"/>
    <w:rsid w:val="005861BB"/>
    <w:rsid w:val="00594B5F"/>
    <w:rsid w:val="0059660E"/>
    <w:rsid w:val="005A4E0F"/>
    <w:rsid w:val="005A75BA"/>
    <w:rsid w:val="005B13EE"/>
    <w:rsid w:val="005D55F6"/>
    <w:rsid w:val="005E72C4"/>
    <w:rsid w:val="005F5232"/>
    <w:rsid w:val="005F6E25"/>
    <w:rsid w:val="005F6F51"/>
    <w:rsid w:val="0060036E"/>
    <w:rsid w:val="006271EA"/>
    <w:rsid w:val="00627DB2"/>
    <w:rsid w:val="006330DF"/>
    <w:rsid w:val="00634733"/>
    <w:rsid w:val="00652189"/>
    <w:rsid w:val="00676F50"/>
    <w:rsid w:val="00691AD9"/>
    <w:rsid w:val="00697A7A"/>
    <w:rsid w:val="006A1505"/>
    <w:rsid w:val="006A264B"/>
    <w:rsid w:val="006D00F3"/>
    <w:rsid w:val="006D167E"/>
    <w:rsid w:val="006E1324"/>
    <w:rsid w:val="006E2F8F"/>
    <w:rsid w:val="006F5951"/>
    <w:rsid w:val="006F6DCA"/>
    <w:rsid w:val="00716755"/>
    <w:rsid w:val="0072768B"/>
    <w:rsid w:val="00736EA8"/>
    <w:rsid w:val="007438F1"/>
    <w:rsid w:val="00790265"/>
    <w:rsid w:val="007E3774"/>
    <w:rsid w:val="007F0CB0"/>
    <w:rsid w:val="007F3CB0"/>
    <w:rsid w:val="007F4833"/>
    <w:rsid w:val="0080264E"/>
    <w:rsid w:val="00805658"/>
    <w:rsid w:val="008102BB"/>
    <w:rsid w:val="00811955"/>
    <w:rsid w:val="00820CFF"/>
    <w:rsid w:val="00845C6B"/>
    <w:rsid w:val="00860282"/>
    <w:rsid w:val="00864108"/>
    <w:rsid w:val="00874389"/>
    <w:rsid w:val="00892FF4"/>
    <w:rsid w:val="008D106E"/>
    <w:rsid w:val="008E2A73"/>
    <w:rsid w:val="008E3F07"/>
    <w:rsid w:val="0090207A"/>
    <w:rsid w:val="0090728B"/>
    <w:rsid w:val="00913062"/>
    <w:rsid w:val="00914D42"/>
    <w:rsid w:val="009304C0"/>
    <w:rsid w:val="009315FC"/>
    <w:rsid w:val="00940C53"/>
    <w:rsid w:val="009644A3"/>
    <w:rsid w:val="00972D5A"/>
    <w:rsid w:val="00977951"/>
    <w:rsid w:val="009A0BD6"/>
    <w:rsid w:val="009A578E"/>
    <w:rsid w:val="009A634F"/>
    <w:rsid w:val="009B352B"/>
    <w:rsid w:val="009B3A9A"/>
    <w:rsid w:val="009C1D77"/>
    <w:rsid w:val="009C3F89"/>
    <w:rsid w:val="009C5CB9"/>
    <w:rsid w:val="009D2F8C"/>
    <w:rsid w:val="009D6762"/>
    <w:rsid w:val="009E27C1"/>
    <w:rsid w:val="009E4D0B"/>
    <w:rsid w:val="00A01360"/>
    <w:rsid w:val="00A20884"/>
    <w:rsid w:val="00A31553"/>
    <w:rsid w:val="00A4274A"/>
    <w:rsid w:val="00A51782"/>
    <w:rsid w:val="00A57673"/>
    <w:rsid w:val="00A57D27"/>
    <w:rsid w:val="00A61D3B"/>
    <w:rsid w:val="00A70502"/>
    <w:rsid w:val="00A7586B"/>
    <w:rsid w:val="00A7612A"/>
    <w:rsid w:val="00AA5FE3"/>
    <w:rsid w:val="00AB5D8F"/>
    <w:rsid w:val="00AE608C"/>
    <w:rsid w:val="00AE6BE6"/>
    <w:rsid w:val="00AF7CD5"/>
    <w:rsid w:val="00B07F2A"/>
    <w:rsid w:val="00B577A5"/>
    <w:rsid w:val="00B6349A"/>
    <w:rsid w:val="00B7177E"/>
    <w:rsid w:val="00B734A6"/>
    <w:rsid w:val="00B95089"/>
    <w:rsid w:val="00BA0F93"/>
    <w:rsid w:val="00BA33E3"/>
    <w:rsid w:val="00BA590A"/>
    <w:rsid w:val="00BF2736"/>
    <w:rsid w:val="00BF3044"/>
    <w:rsid w:val="00BF5C50"/>
    <w:rsid w:val="00C048BC"/>
    <w:rsid w:val="00C15FC0"/>
    <w:rsid w:val="00C34C81"/>
    <w:rsid w:val="00C87B7C"/>
    <w:rsid w:val="00CB1642"/>
    <w:rsid w:val="00CD659A"/>
    <w:rsid w:val="00D00C09"/>
    <w:rsid w:val="00D15B6B"/>
    <w:rsid w:val="00D31AD5"/>
    <w:rsid w:val="00D42D70"/>
    <w:rsid w:val="00D464DF"/>
    <w:rsid w:val="00D5207C"/>
    <w:rsid w:val="00D55D03"/>
    <w:rsid w:val="00D665F5"/>
    <w:rsid w:val="00D76D3E"/>
    <w:rsid w:val="00D851A1"/>
    <w:rsid w:val="00D93966"/>
    <w:rsid w:val="00DA62F7"/>
    <w:rsid w:val="00DB69CC"/>
    <w:rsid w:val="00E05746"/>
    <w:rsid w:val="00E423E2"/>
    <w:rsid w:val="00E478A5"/>
    <w:rsid w:val="00E51AE1"/>
    <w:rsid w:val="00E66AA7"/>
    <w:rsid w:val="00E70C1B"/>
    <w:rsid w:val="00E756CB"/>
    <w:rsid w:val="00E77B0F"/>
    <w:rsid w:val="00E95C28"/>
    <w:rsid w:val="00EA7F33"/>
    <w:rsid w:val="00F03C73"/>
    <w:rsid w:val="00F07A7A"/>
    <w:rsid w:val="00F343D0"/>
    <w:rsid w:val="00F47926"/>
    <w:rsid w:val="00F54BB5"/>
    <w:rsid w:val="00F85E5A"/>
    <w:rsid w:val="00F872FC"/>
    <w:rsid w:val="00F87D34"/>
    <w:rsid w:val="00F959C1"/>
    <w:rsid w:val="00F97BC8"/>
    <w:rsid w:val="00FB7084"/>
    <w:rsid w:val="00FD3D3E"/>
    <w:rsid w:val="00FE2132"/>
    <w:rsid w:val="00FF3231"/>
    <w:rsid w:val="037B2BCB"/>
    <w:rsid w:val="037D31A9"/>
    <w:rsid w:val="03DF0110"/>
    <w:rsid w:val="05CF0B8D"/>
    <w:rsid w:val="084510F1"/>
    <w:rsid w:val="084513B8"/>
    <w:rsid w:val="0A3E5F01"/>
    <w:rsid w:val="0B4B4F8D"/>
    <w:rsid w:val="1B2F240D"/>
    <w:rsid w:val="1CFE2F45"/>
    <w:rsid w:val="1E184D31"/>
    <w:rsid w:val="230961F8"/>
    <w:rsid w:val="23B70671"/>
    <w:rsid w:val="271B1EC6"/>
    <w:rsid w:val="30CF1955"/>
    <w:rsid w:val="322D5314"/>
    <w:rsid w:val="3CDB4AAC"/>
    <w:rsid w:val="3D766E96"/>
    <w:rsid w:val="467D1EA7"/>
    <w:rsid w:val="50BC6146"/>
    <w:rsid w:val="5A616BE7"/>
    <w:rsid w:val="5C953F45"/>
    <w:rsid w:val="62845253"/>
    <w:rsid w:val="62FC41AD"/>
    <w:rsid w:val="6F7D647B"/>
    <w:rsid w:val="721C29A4"/>
    <w:rsid w:val="7324256B"/>
    <w:rsid w:val="75231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copyright"/>
    <w:basedOn w:val="7"/>
    <w:qFormat/>
    <w:uiPriority w:val="0"/>
  </w:style>
  <w:style w:type="character" w:customStyle="1" w:styleId="14">
    <w:name w:val="apple-converted-space"/>
    <w:basedOn w:val="7"/>
    <w:qFormat/>
    <w:uiPriority w:val="0"/>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428</Words>
  <Characters>2446</Characters>
  <Lines>20</Lines>
  <Paragraphs>5</Paragraphs>
  <TotalTime>4</TotalTime>
  <ScaleCrop>false</ScaleCrop>
  <LinksUpToDate>false</LinksUpToDate>
  <CharactersWithSpaces>2869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2021-09-24T10:39:00Z</dcterms:created>
  <dc:creator>yangyijun</dc:creator>
  <cp:lastModifiedBy>yangjun</cp:lastModifiedBy>
  <cp:lastPrinted>2017-06-07T07:27:00Z</cp:lastPrinted>
  <dcterms:modified xsi:type="dcterms:W3CDTF">2021-09-29T02:36:11Z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D371777C46DB4798AE51D661594CF314</vt:lpwstr>
  </property>
</Properties>
</file>