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8"/>
          <w:szCs w:val="48"/>
        </w:rPr>
      </w:pPr>
      <w:r>
        <w:rPr>
          <w:rFonts w:hint="eastAsia" w:ascii="宋体" w:hAnsi="宋体" w:eastAsia="宋体" w:cs="宋体"/>
          <w:b/>
          <w:bCs/>
          <w:sz w:val="48"/>
          <w:szCs w:val="48"/>
        </w:rPr>
        <w:t>中铁二十三局集团有限公司</w:t>
      </w:r>
    </w:p>
    <w:p>
      <w:pPr>
        <w:jc w:val="center"/>
        <w:rPr>
          <w:rFonts w:hint="eastAsia" w:ascii="宋体" w:hAnsi="宋体" w:eastAsia="宋体" w:cs="宋体"/>
          <w:b/>
          <w:bCs/>
          <w:sz w:val="48"/>
          <w:szCs w:val="48"/>
          <w:lang w:eastAsia="zh-CN"/>
        </w:rPr>
      </w:pPr>
      <w:r>
        <w:rPr>
          <w:rFonts w:hint="eastAsia" w:ascii="宋体" w:hAnsi="宋体" w:eastAsia="宋体" w:cs="宋体"/>
          <w:b/>
          <w:bCs/>
          <w:sz w:val="48"/>
          <w:szCs w:val="48"/>
        </w:rPr>
        <w:t>202</w:t>
      </w:r>
      <w:r>
        <w:rPr>
          <w:rFonts w:hint="eastAsia" w:ascii="宋体" w:hAnsi="宋体" w:eastAsia="宋体" w:cs="宋体"/>
          <w:b/>
          <w:bCs/>
          <w:sz w:val="48"/>
          <w:szCs w:val="48"/>
          <w:lang w:val="en-US" w:eastAsia="zh-CN"/>
        </w:rPr>
        <w:t>2</w:t>
      </w:r>
      <w:r>
        <w:rPr>
          <w:rFonts w:hint="eastAsia" w:ascii="宋体" w:hAnsi="宋体" w:eastAsia="宋体" w:cs="宋体"/>
          <w:b/>
          <w:bCs/>
          <w:sz w:val="48"/>
          <w:szCs w:val="48"/>
          <w:lang w:eastAsia="zh-CN"/>
        </w:rPr>
        <w:t>届高校毕业生招聘</w:t>
      </w:r>
      <w:r>
        <w:rPr>
          <w:rFonts w:hint="eastAsia" w:ascii="宋体" w:hAnsi="宋体" w:eastAsia="宋体" w:cs="宋体"/>
          <w:b/>
          <w:bCs/>
          <w:sz w:val="48"/>
          <w:szCs w:val="48"/>
          <w:lang w:val="en-US" w:eastAsia="zh-CN"/>
        </w:rPr>
        <w:t>简章</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一、企业简介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中铁二十三局集团有限公司，隶属于国务院国资委直接监管的世界500强特大型企业、全球最大建筑承包商——中国铁建股份有限公司。</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集团公司拥有铁路工程、公路工程施工总承包特级，建筑工程、水利水电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矿山、市政公用、机电工程施工总承包一级，桥梁、隧道、公路路面工程、公路路基工程专业承包一级，铁道行业甲（Ⅱ）级、公路行业甲级设计资质、房地产开发资质</w:t>
      </w:r>
      <w:r>
        <w:rPr>
          <w:rFonts w:hint="eastAsia" w:ascii="仿宋_GB2312" w:hAnsi="仿宋_GB2312" w:eastAsia="仿宋_GB2312" w:cs="仿宋_GB2312"/>
          <w:sz w:val="32"/>
          <w:szCs w:val="32"/>
          <w:lang w:eastAsia="zh-CN"/>
        </w:rPr>
        <w:t>以及爆破资质</w:t>
      </w:r>
      <w:r>
        <w:rPr>
          <w:rFonts w:hint="eastAsia" w:ascii="仿宋_GB2312" w:hAnsi="仿宋_GB2312" w:eastAsia="仿宋_GB2312" w:cs="仿宋_GB2312"/>
          <w:sz w:val="32"/>
          <w:szCs w:val="32"/>
        </w:rPr>
        <w:t>。2004年取得质量管理、环境管理和职业健康安全体系认证。所属单位拥有建筑</w:t>
      </w:r>
      <w:r>
        <w:rPr>
          <w:rFonts w:hint="eastAsia" w:ascii="仿宋_GB2312" w:hAnsi="仿宋_GB2312" w:eastAsia="仿宋_GB2312" w:cs="仿宋_GB2312"/>
          <w:sz w:val="32"/>
          <w:szCs w:val="32"/>
          <w:lang w:eastAsia="zh-CN"/>
        </w:rPr>
        <w:t>工程设计甲级、</w:t>
      </w:r>
      <w:r>
        <w:rPr>
          <w:rFonts w:hint="eastAsia" w:ascii="仿宋_GB2312" w:hAnsi="仿宋_GB2312" w:eastAsia="仿宋_GB2312" w:cs="仿宋_GB2312"/>
          <w:sz w:val="32"/>
          <w:szCs w:val="32"/>
        </w:rPr>
        <w:t>工程勘察</w:t>
      </w:r>
      <w:r>
        <w:rPr>
          <w:rFonts w:hint="eastAsia" w:ascii="仿宋_GB2312" w:hAnsi="仿宋_GB2312" w:eastAsia="仿宋_GB2312" w:cs="仿宋_GB2312"/>
          <w:sz w:val="32"/>
          <w:szCs w:val="32"/>
          <w:lang w:eastAsia="zh-CN"/>
        </w:rPr>
        <w:t>岩土工程</w:t>
      </w:r>
      <w:r>
        <w:rPr>
          <w:rFonts w:hint="eastAsia" w:ascii="仿宋_GB2312" w:hAnsi="仿宋_GB2312" w:eastAsia="仿宋_GB2312" w:cs="仿宋_GB2312"/>
          <w:sz w:val="32"/>
          <w:szCs w:val="32"/>
        </w:rPr>
        <w:t>甲级</w:t>
      </w:r>
      <w:r>
        <w:rPr>
          <w:rFonts w:hint="eastAsia" w:ascii="仿宋_GB2312" w:hAnsi="仿宋_GB2312" w:eastAsia="仿宋_GB2312" w:cs="仿宋_GB2312"/>
          <w:sz w:val="32"/>
          <w:szCs w:val="32"/>
          <w:lang w:eastAsia="zh-CN"/>
        </w:rPr>
        <w:t>、环境工程乙级、</w:t>
      </w:r>
      <w:r>
        <w:rPr>
          <w:rFonts w:hint="eastAsia" w:ascii="仿宋_GB2312" w:hAnsi="仿宋_GB2312" w:eastAsia="仿宋_GB2312" w:cs="仿宋_GB2312"/>
          <w:sz w:val="32"/>
          <w:szCs w:val="32"/>
        </w:rPr>
        <w:t>市政</w:t>
      </w:r>
      <w:r>
        <w:rPr>
          <w:rFonts w:hint="eastAsia" w:ascii="仿宋_GB2312" w:hAnsi="仿宋_GB2312" w:eastAsia="仿宋_GB2312" w:cs="仿宋_GB2312"/>
          <w:sz w:val="32"/>
          <w:szCs w:val="32"/>
          <w:lang w:eastAsia="zh-CN"/>
        </w:rPr>
        <w:t>设计乙级、水利行业乙级、风景园林乙级、人防工程乙级、公路行业丙级资质以及公路养护工程施工从业等资质。</w:t>
      </w:r>
    </w:p>
    <w:p>
      <w:pPr>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b w:val="0"/>
          <w:bCs w:val="0"/>
          <w:sz w:val="32"/>
          <w:szCs w:val="32"/>
          <w:lang w:val="en-US" w:eastAsia="zh-CN"/>
        </w:rPr>
        <w:t>截止目前，集团公司共有在编职工11003人。其中，享受国家政府津贴的专家4人，国家百千万人才工程突出贡献青年专家1人，省级专家20人，集团公司内部专家30人，博士研究生8人，一级建造师558人，各类专业技术人员8000余人。高级职称1321人（正高级职称34人，副高级职称1287人），中级职称2158人，初级职称4632人</w:t>
      </w:r>
      <w:r>
        <w:rPr>
          <w:rFonts w:hint="eastAsia" w:ascii="仿宋_GB2312" w:hAnsi="仿宋_GB2312" w:eastAsia="仿宋_GB2312" w:cs="仿宋_GB2312"/>
          <w:sz w:val="32"/>
          <w:szCs w:val="32"/>
          <w:highlight w:val="none"/>
        </w:rPr>
        <w:t>。年施工能力达</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00亿元以上。</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所属各单位参建的青藏铁路、京九铁路、新建重庆至遂宁铁路、重庆至利川铁路，新建成都北编组站、新建兰渝兴隆场编组站工程，雅安至泸沽高速公路、</w:t>
      </w:r>
      <w:r>
        <w:rPr>
          <w:rFonts w:hint="eastAsia" w:ascii="仿宋_GB2312" w:hAnsi="仿宋_GB2312" w:eastAsia="仿宋_GB2312" w:cs="仿宋_GB2312"/>
          <w:kern w:val="2"/>
          <w:sz w:val="32"/>
          <w:szCs w:val="32"/>
          <w:lang w:val="en-US" w:eastAsia="zh-CN" w:bidi="ar-SA"/>
        </w:rPr>
        <w:t>新建向莆铁路青云山隧道等几十项工程获得中国建设工程鲁班奖、中国土木工程詹天佑大奖、国家优质工程奖金奖、国家优质工程奖等。参建了世界首条商业运营的上海高速磁浮示范线和首条具有自主知识产权的长沙中低速磁浮快线，是国内唯一具有高、中低速磁浮研发施工能力和经验的集团。承建了创造四项“世界第一”雅西高速公路干海子特大桥。承建全国首个可以值机、安检、行李托运，直通候机楼，有“中国新国门第一站”之称的北京大兴国际机场快线地铁草桥站。承建了黄土地区同类桥梁亚洲第二高墩甜永高速天宁沟特大桥。集团公司在格鲁吉亚等10多个海外国家和地区承建工程50多项。</w:t>
      </w:r>
    </w:p>
    <w:p>
      <w:pPr>
        <w:ind w:firstLine="640" w:firstLineChars="200"/>
        <w:rPr>
          <w:rFonts w:hint="eastAsia" w:ascii="仿宋_GB2312" w:hAnsi="仿宋_GB2312" w:eastAsia="仿宋_GB2312" w:cs="仿宋_GB2312"/>
          <w:color w:val="181717" w:themeColor="background2" w:themeShade="1A"/>
          <w:sz w:val="32"/>
          <w:szCs w:val="32"/>
          <w:lang w:eastAsia="zh-CN"/>
        </w:rPr>
      </w:pPr>
      <w:r>
        <w:rPr>
          <w:rFonts w:hint="eastAsia" w:ascii="仿宋_GB2312" w:hAnsi="仿宋_GB2312" w:eastAsia="仿宋_GB2312" w:cs="仿宋_GB2312"/>
          <w:color w:val="181717" w:themeColor="background2" w:themeShade="1A"/>
          <w:sz w:val="32"/>
          <w:szCs w:val="32"/>
          <w:lang w:eastAsia="zh-CN"/>
        </w:rPr>
        <w:t>集团公司大力实施“科技兴企、人才强企”战略，建有国家企业技术中心，是国家知</w:t>
      </w:r>
      <w:r>
        <w:rPr>
          <w:rFonts w:hint="eastAsia" w:ascii="仿宋_GB2312" w:hAnsi="仿宋_GB2312" w:eastAsia="仿宋_GB2312" w:cs="仿宋_GB2312"/>
          <w:color w:val="181717" w:themeColor="background2" w:themeShade="1A"/>
          <w:sz w:val="32"/>
          <w:szCs w:val="32"/>
          <w:highlight w:val="none"/>
          <w:lang w:eastAsia="zh-CN"/>
        </w:rPr>
        <w:t>识产权示范企业、高新技术企业、四川省博士后创新实践基地。</w:t>
      </w:r>
      <w:r>
        <w:rPr>
          <w:rFonts w:hint="eastAsia" w:ascii="仿宋_GB2312" w:hAnsi="仿宋_GB2312" w:eastAsia="仿宋_GB2312" w:cs="仿宋_GB2312"/>
          <w:color w:val="181717" w:themeColor="background2" w:themeShade="1A"/>
          <w:sz w:val="32"/>
          <w:szCs w:val="32"/>
          <w:lang w:eastAsia="zh-CN"/>
        </w:rPr>
        <w:t>截止2021</w:t>
      </w:r>
      <w:r>
        <w:rPr>
          <w:rFonts w:hint="eastAsia" w:ascii="仿宋_GB2312" w:hAnsi="仿宋_GB2312" w:eastAsia="仿宋_GB2312" w:cs="仿宋_GB2312"/>
          <w:color w:val="181717" w:themeColor="background2" w:themeShade="1A"/>
          <w:sz w:val="32"/>
          <w:szCs w:val="32"/>
          <w:lang w:val="en-US" w:eastAsia="zh-CN"/>
        </w:rPr>
        <w:t>年8月</w:t>
      </w:r>
      <w:r>
        <w:rPr>
          <w:rFonts w:hint="eastAsia" w:ascii="仿宋_GB2312" w:hAnsi="仿宋_GB2312" w:eastAsia="仿宋_GB2312" w:cs="仿宋_GB2312"/>
          <w:color w:val="181717" w:themeColor="background2" w:themeShade="1A"/>
          <w:sz w:val="32"/>
          <w:szCs w:val="32"/>
          <w:lang w:eastAsia="zh-CN"/>
        </w:rPr>
        <w:t>，累计授权专利382项，有效专利285项，其中发明专利111项；PCT国际专利（俄罗斯）1项；软件著作权10项，</w:t>
      </w:r>
      <w:r>
        <w:rPr>
          <w:rFonts w:hint="eastAsia" w:ascii="仿宋_GB2312" w:hAnsi="仿宋_GB2312" w:eastAsia="仿宋_GB2312" w:cs="仿宋_GB2312"/>
          <w:color w:val="181717" w:themeColor="background2" w:themeShade="1A"/>
          <w:sz w:val="32"/>
          <w:szCs w:val="32"/>
          <w:highlight w:val="none"/>
          <w:lang w:eastAsia="zh-CN"/>
        </w:rPr>
        <w:t>专利数居中国铁建前列。</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二、招聘相关信息</w:t>
      </w:r>
    </w:p>
    <w:p>
      <w:pPr>
        <w:ind w:firstLine="643" w:firstLineChars="200"/>
        <w:rPr>
          <w:rFonts w:hint="eastAsia" w:ascii="楷体" w:hAnsi="楷体" w:eastAsia="楷体" w:cs="楷体"/>
          <w:b/>
          <w:color w:val="000000"/>
          <w:sz w:val="32"/>
          <w:szCs w:val="32"/>
          <w:lang w:val="en-US" w:eastAsia="zh-CN"/>
        </w:rPr>
      </w:pPr>
      <w:r>
        <w:rPr>
          <w:rFonts w:hint="eastAsia" w:ascii="楷体" w:hAnsi="楷体" w:eastAsia="楷体" w:cs="楷体"/>
          <w:b/>
          <w:color w:val="000000"/>
          <w:sz w:val="32"/>
          <w:szCs w:val="32"/>
          <w:lang w:val="en-US" w:eastAsia="zh-CN"/>
        </w:rPr>
        <w:t>（一）基本条件：</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认同企业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对建筑行业有较多了解，对中铁二十三局</w:t>
      </w:r>
      <w:r>
        <w:rPr>
          <w:rFonts w:hint="eastAsia" w:ascii="仿宋_GB2312" w:hAnsi="仿宋_GB2312" w:eastAsia="仿宋_GB2312" w:cs="仿宋_GB2312"/>
          <w:sz w:val="32"/>
          <w:szCs w:val="32"/>
          <w:lang w:eastAsia="zh-CN"/>
        </w:rPr>
        <w:t>比较</w:t>
      </w:r>
      <w:r>
        <w:rPr>
          <w:rFonts w:hint="eastAsia" w:ascii="仿宋_GB2312" w:hAnsi="仿宋_GB2312" w:eastAsia="仿宋_GB2312" w:cs="仿宋_GB2312"/>
          <w:sz w:val="32"/>
          <w:szCs w:val="32"/>
        </w:rPr>
        <w:t>认同，能够接受行业特点、企业分布，适合自身择业要求。</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身心健康</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有良好的身体素质，适应</w:t>
      </w:r>
      <w:r>
        <w:rPr>
          <w:rFonts w:hint="eastAsia" w:ascii="仿宋_GB2312" w:hAnsi="仿宋_GB2312" w:eastAsia="仿宋_GB2312" w:cs="仿宋_GB2312"/>
          <w:sz w:val="32"/>
          <w:szCs w:val="32"/>
          <w:lang w:eastAsia="zh-CN"/>
        </w:rPr>
        <w:t>项目工作</w:t>
      </w:r>
      <w:r>
        <w:rPr>
          <w:rFonts w:hint="eastAsia" w:ascii="仿宋_GB2312" w:hAnsi="仿宋_GB2312" w:eastAsia="仿宋_GB2312" w:cs="仿宋_GB2312"/>
          <w:sz w:val="32"/>
          <w:szCs w:val="32"/>
        </w:rPr>
        <w:t>需要，有良好的心理素质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适应力、承受力、亲和力强。</w:t>
      </w:r>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学业优良</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考试成绩良好，专业知识扎实。</w:t>
      </w:r>
    </w:p>
    <w:p>
      <w:pPr>
        <w:numPr>
          <w:ilvl w:val="0"/>
          <w:numId w:val="0"/>
        </w:numPr>
        <w:ind w:firstLine="643" w:firstLineChars="20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（二）专业需求：</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本科专业：</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木工程、铁道工程、隧道及地下工程、水利水电、给排水、结构工程、道路桥梁、电气工程及其自动化、采矿工程等土木相关专业、建筑学、安全工程、测绘工程、材料工程（无机）试验类、工程管理（工程造价）、林学、园林、风景园林、森林保护类、弹药工程与爆炸基础、定向爆破；</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流（资）管理；工商管理；计算机科学与技术、软件工程；财务管理（会计学）、审计学、金融管理、税务学；法学、法律相关专业；人力资源管理、劳动与社会保障、档案学；中文、汉语言文学、思想政治教育、宣传新闻类。</w:t>
      </w:r>
    </w:p>
    <w:p/>
    <w:p>
      <w:pPr>
        <w:numPr>
          <w:ilvl w:val="0"/>
          <w:numId w:val="0"/>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硕研</w:t>
      </w:r>
      <w:r>
        <w:rPr>
          <w:rFonts w:hint="eastAsia" w:ascii="仿宋_GB2312" w:hAnsi="仿宋_GB2312" w:eastAsia="仿宋_GB2312" w:cs="仿宋_GB2312"/>
          <w:b/>
          <w:bCs/>
          <w:sz w:val="32"/>
          <w:szCs w:val="32"/>
          <w:lang w:eastAsia="zh-CN"/>
        </w:rPr>
        <w:t>专</w:t>
      </w:r>
      <w:r>
        <w:rPr>
          <w:rFonts w:hint="eastAsia" w:ascii="仿宋_GB2312" w:hAnsi="仿宋_GB2312" w:eastAsia="仿宋_GB2312" w:cs="仿宋_GB2312"/>
          <w:b/>
          <w:bCs/>
          <w:sz w:val="32"/>
          <w:szCs w:val="32"/>
        </w:rPr>
        <w:t>业：</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土木类、金融学、财务管理、工程管理、中文、人力资源管理及相关专业。</w:t>
      </w:r>
    </w:p>
    <w:p>
      <w:pPr>
        <w:numPr>
          <w:ilvl w:val="0"/>
          <w:numId w:val="0"/>
        </w:num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3.博研专业：</w:t>
      </w:r>
      <w:r>
        <w:rPr>
          <w:rFonts w:hint="eastAsia" w:ascii="仿宋_GB2312" w:hAnsi="仿宋_GB2312" w:eastAsia="仿宋_GB2312" w:cs="仿宋_GB2312"/>
          <w:b/>
          <w:bCs/>
          <w:sz w:val="32"/>
          <w:szCs w:val="32"/>
        </w:rPr>
        <w:t> </w:t>
      </w:r>
      <w:r>
        <w:rPr>
          <w:rFonts w:hint="eastAsia" w:ascii="仿宋_GB2312" w:hAnsi="仿宋_GB2312" w:eastAsia="仿宋_GB2312" w:cs="仿宋_GB2312"/>
          <w:b w:val="0"/>
          <w:bCs w:val="0"/>
          <w:sz w:val="32"/>
          <w:szCs w:val="32"/>
        </w:rPr>
        <w:t xml:space="preserve">   </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土木类相关专业为主，工程管理、中文及相关</w:t>
      </w:r>
      <w:r>
        <w:rPr>
          <w:rFonts w:hint="eastAsia" w:ascii="仿宋_GB2312" w:hAnsi="仿宋_GB2312" w:eastAsia="仿宋_GB2312" w:cs="仿宋_GB2312"/>
          <w:b w:val="0"/>
          <w:bCs w:val="0"/>
          <w:sz w:val="32"/>
          <w:szCs w:val="32"/>
          <w:lang w:eastAsia="zh-CN"/>
        </w:rPr>
        <w:t>专业</w:t>
      </w:r>
      <w:r>
        <w:rPr>
          <w:rFonts w:hint="eastAsia" w:ascii="仿宋_GB2312" w:hAnsi="仿宋_GB2312" w:eastAsia="仿宋_GB2312" w:cs="仿宋_GB2312"/>
          <w:b w:val="0"/>
          <w:bCs w:val="0"/>
          <w:sz w:val="32"/>
          <w:szCs w:val="32"/>
        </w:rPr>
        <w:t>。</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三、薪酬福利待遇</w:t>
      </w:r>
    </w:p>
    <w:p>
      <w:pPr>
        <w:numPr>
          <w:ilvl w:val="0"/>
          <w:numId w:val="0"/>
        </w:numPr>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（一）学历补助</w:t>
      </w:r>
      <w:r>
        <w:rPr>
          <w:rFonts w:hint="eastAsia" w:ascii="楷体" w:hAnsi="楷体" w:eastAsia="楷体" w:cs="楷体"/>
          <w:b/>
          <w:bCs/>
          <w:sz w:val="32"/>
          <w:szCs w:val="32"/>
          <w:lang w:val="en-US" w:eastAsia="zh-CN"/>
        </w:rPr>
        <w:t>及薪资</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集团公司为大家提供土建施工类企业中具有竞争力的薪酬待遇和福利待遇；按照研究生、985、211院校等不同学历层次给予3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年学历补助。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本科生</w:t>
      </w:r>
      <w:r>
        <w:rPr>
          <w:rFonts w:hint="eastAsia" w:ascii="仿宋_GB2312" w:hAnsi="仿宋_GB2312" w:eastAsia="仿宋_GB2312" w:cs="仿宋_GB2312"/>
          <w:sz w:val="32"/>
          <w:szCs w:val="32"/>
        </w:rPr>
        <w:t>入职第一年工资：985院校月薪6900+，211院校月薪6600+，一本院校或专业月薪6000+，二本院校或专业月薪5400+。硕士研究生学历月薪11000+，博士研究生学历年薪20w+。</w:t>
      </w:r>
    </w:p>
    <w:p>
      <w:pPr>
        <w:numPr>
          <w:ilvl w:val="0"/>
          <w:numId w:val="1"/>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转正薪酬</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本科生定职</w:t>
      </w:r>
      <w:r>
        <w:rPr>
          <w:rFonts w:hint="eastAsia" w:ascii="仿宋_GB2312" w:hAnsi="仿宋_GB2312" w:eastAsia="仿宋_GB2312" w:cs="仿宋_GB2312"/>
          <w:sz w:val="32"/>
          <w:szCs w:val="32"/>
        </w:rPr>
        <w:t>定级后，根据个人岗位、职称以及对企业的贡献等情况确定薪酬标准和奖金。硕士、博士研究生入职直接</w:t>
      </w:r>
      <w:r>
        <w:rPr>
          <w:rFonts w:hint="eastAsia" w:ascii="仿宋_GB2312" w:hAnsi="仿宋_GB2312" w:eastAsia="仿宋_GB2312" w:cs="仿宋_GB2312"/>
          <w:sz w:val="32"/>
          <w:szCs w:val="32"/>
          <w:lang w:val="en-US" w:eastAsia="zh-CN"/>
        </w:rPr>
        <w:t>定职</w:t>
      </w:r>
      <w:r>
        <w:rPr>
          <w:rFonts w:hint="eastAsia" w:ascii="仿宋_GB2312" w:hAnsi="仿宋_GB2312" w:eastAsia="仿宋_GB2312" w:cs="仿宋_GB2312"/>
          <w:sz w:val="32"/>
          <w:szCs w:val="32"/>
        </w:rPr>
        <w:t>定级。</w:t>
      </w:r>
    </w:p>
    <w:p>
      <w:pPr>
        <w:numPr>
          <w:ilvl w:val="0"/>
          <w:numId w:val="1"/>
        </w:numPr>
        <w:ind w:left="0" w:leftChars="0" w:firstLine="643" w:firstLineChars="200"/>
        <w:jc w:val="both"/>
        <w:rPr>
          <w:rFonts w:hint="eastAsia" w:ascii="楷体" w:hAnsi="楷体" w:eastAsia="楷体" w:cs="楷体"/>
          <w:b/>
          <w:bCs/>
          <w:sz w:val="32"/>
          <w:szCs w:val="32"/>
        </w:rPr>
      </w:pPr>
      <w:r>
        <w:rPr>
          <w:rFonts w:hint="eastAsia" w:ascii="楷体" w:hAnsi="楷体" w:eastAsia="楷体" w:cs="楷体"/>
          <w:b/>
          <w:bCs/>
          <w:sz w:val="32"/>
          <w:szCs w:val="32"/>
        </w:rPr>
        <w:t>福利待遇</w:t>
      </w:r>
    </w:p>
    <w:p>
      <w:pPr>
        <w:numPr>
          <w:ilvl w:val="0"/>
          <w:numId w:val="0"/>
        </w:numPr>
        <w:ind w:firstLine="640" w:firstLineChars="200"/>
        <w:jc w:val="both"/>
        <w:rPr>
          <w:rFonts w:hint="eastAsia" w:ascii="仿宋_GB2312" w:hAnsi="仿宋_GB2312" w:eastAsia="仿宋_GB2312" w:cs="仿宋_GB2312"/>
          <w:color w:val="000000" w:themeColor="text1" w:themeShade="80"/>
          <w:sz w:val="32"/>
          <w:szCs w:val="32"/>
        </w:rPr>
      </w:pPr>
      <w:r>
        <w:rPr>
          <w:rFonts w:hint="eastAsia" w:ascii="仿宋_GB2312" w:hAnsi="仿宋_GB2312" w:eastAsia="仿宋_GB2312" w:cs="仿宋_GB2312"/>
          <w:sz w:val="32"/>
          <w:szCs w:val="32"/>
        </w:rPr>
        <w:t>法定五险、住房公积金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企业年金、大病医保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企业专属重疾险等福利平台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职业规划、业务培训、导师带徒、员工健康</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健康关爱计划、</w:t>
      </w:r>
      <w:r>
        <w:rPr>
          <w:rFonts w:hint="eastAsia" w:ascii="仿宋_GB2312" w:hAnsi="仿宋_GB2312" w:eastAsia="仿宋_GB2312" w:cs="仿宋_GB2312"/>
          <w:sz w:val="32"/>
          <w:szCs w:val="32"/>
        </w:rPr>
        <w:t>证书补贴、电话费</w:t>
      </w:r>
      <w:r>
        <w:rPr>
          <w:rFonts w:hint="eastAsia" w:ascii="仿宋_GB2312" w:hAnsi="仿宋_GB2312" w:eastAsia="仿宋_GB2312" w:cs="仿宋_GB2312"/>
          <w:sz w:val="32"/>
          <w:szCs w:val="32"/>
          <w:lang w:val="en-US" w:eastAsia="zh-CN"/>
        </w:rPr>
        <w:t>补贴</w:t>
      </w:r>
      <w:r>
        <w:rPr>
          <w:rFonts w:hint="eastAsia" w:ascii="仿宋_GB2312" w:hAnsi="仿宋_GB2312" w:eastAsia="仿宋_GB2312" w:cs="仿宋_GB2312"/>
          <w:sz w:val="32"/>
          <w:szCs w:val="32"/>
        </w:rPr>
        <w:t>、节</w:t>
      </w:r>
      <w:r>
        <w:rPr>
          <w:rFonts w:hint="eastAsia" w:ascii="仿宋_GB2312" w:hAnsi="仿宋_GB2312" w:eastAsia="仿宋_GB2312" w:cs="仿宋_GB2312"/>
          <w:color w:val="000000" w:themeColor="text1" w:themeShade="80"/>
          <w:sz w:val="32"/>
          <w:szCs w:val="32"/>
        </w:rPr>
        <w:t>日慰问礼、</w:t>
      </w:r>
      <w:r>
        <w:rPr>
          <w:rFonts w:hint="eastAsia" w:ascii="仿宋_GB2312" w:hAnsi="仿宋_GB2312" w:eastAsia="仿宋_GB2312" w:cs="仿宋_GB2312"/>
          <w:color w:val="000000" w:themeColor="text1" w:themeShade="80"/>
          <w:sz w:val="32"/>
          <w:szCs w:val="32"/>
          <w:lang w:val="en-US" w:eastAsia="zh-CN"/>
        </w:rPr>
        <w:t>生活费补贴、</w:t>
      </w:r>
      <w:r>
        <w:rPr>
          <w:rFonts w:hint="eastAsia" w:ascii="仿宋_GB2312" w:hAnsi="仿宋_GB2312" w:eastAsia="仿宋_GB2312" w:cs="仿宋_GB2312"/>
          <w:color w:val="000000" w:themeColor="text1" w:themeShade="80"/>
          <w:sz w:val="32"/>
          <w:szCs w:val="32"/>
        </w:rPr>
        <w:t>一线工作提供</w:t>
      </w:r>
      <w:r>
        <w:rPr>
          <w:rFonts w:hint="eastAsia" w:ascii="仿宋_GB2312" w:hAnsi="仿宋_GB2312" w:eastAsia="仿宋_GB2312" w:cs="仿宋_GB2312"/>
          <w:color w:val="000000" w:themeColor="text1" w:themeShade="80"/>
          <w:sz w:val="32"/>
          <w:szCs w:val="32"/>
          <w:lang w:val="en-US" w:eastAsia="zh-CN"/>
        </w:rPr>
        <w:t>免费</w:t>
      </w:r>
      <w:r>
        <w:rPr>
          <w:rFonts w:hint="eastAsia" w:ascii="仿宋_GB2312" w:hAnsi="仿宋_GB2312" w:eastAsia="仿宋_GB2312" w:cs="仿宋_GB2312"/>
          <w:color w:val="000000" w:themeColor="text1" w:themeShade="80"/>
          <w:sz w:val="32"/>
          <w:szCs w:val="32"/>
        </w:rPr>
        <w:t>食宿、加班补贴</w:t>
      </w:r>
      <w:r>
        <w:rPr>
          <w:rFonts w:hint="eastAsia" w:ascii="仿宋_GB2312" w:hAnsi="仿宋_GB2312" w:eastAsia="仿宋_GB2312" w:cs="仿宋_GB2312"/>
          <w:color w:val="000000" w:themeColor="text1" w:themeShade="80"/>
          <w:sz w:val="32"/>
          <w:szCs w:val="32"/>
          <w:lang w:eastAsia="zh-CN"/>
        </w:rPr>
        <w:t>、</w:t>
      </w:r>
      <w:r>
        <w:rPr>
          <w:rFonts w:hint="eastAsia" w:ascii="仿宋_GB2312" w:hAnsi="仿宋_GB2312" w:eastAsia="仿宋_GB2312" w:cs="仿宋_GB2312"/>
          <w:color w:val="000000" w:themeColor="text1" w:themeShade="80"/>
          <w:sz w:val="32"/>
          <w:szCs w:val="32"/>
        </w:rPr>
        <w:t>国家法定假期等。</w:t>
      </w:r>
    </w:p>
    <w:p>
      <w:pPr>
        <w:keepNext w:val="0"/>
        <w:keepLines w:val="0"/>
        <w:pageBreakBefore w:val="0"/>
        <w:widowControl w:val="0"/>
        <w:numPr>
          <w:ilvl w:val="0"/>
          <w:numId w:val="1"/>
        </w:numPr>
        <w:kinsoku/>
        <w:wordWrap w:val="0"/>
        <w:overflowPunct/>
        <w:topLinePunct w:val="0"/>
        <w:autoSpaceDE/>
        <w:autoSpaceDN/>
        <w:bidi w:val="0"/>
        <w:adjustRightInd/>
        <w:snapToGrid/>
        <w:spacing w:line="576" w:lineRule="exact"/>
        <w:ind w:left="0" w:leftChars="0" w:right="0" w:rightChars="0" w:firstLine="643" w:firstLineChars="200"/>
        <w:jc w:val="both"/>
        <w:textAlignment w:val="auto"/>
        <w:outlineLvl w:val="9"/>
        <w:rPr>
          <w:rFonts w:hint="eastAsia" w:ascii="楷体" w:hAnsi="楷体" w:eastAsia="楷体" w:cs="楷体"/>
          <w:b/>
          <w:bCs/>
          <w:color w:val="000000" w:themeColor="text1" w:themeShade="80"/>
          <w:sz w:val="32"/>
          <w:szCs w:val="32"/>
        </w:rPr>
      </w:pPr>
      <w:r>
        <w:rPr>
          <w:rFonts w:hint="eastAsia" w:ascii="楷体" w:hAnsi="楷体" w:eastAsia="楷体" w:cs="楷体"/>
          <w:b/>
          <w:bCs/>
          <w:color w:val="000000" w:themeColor="text1" w:themeShade="80"/>
          <w:sz w:val="32"/>
          <w:szCs w:val="32"/>
        </w:rPr>
        <w:t>资格证书奖励及补贴标准</w:t>
      </w:r>
    </w:p>
    <w:p>
      <w:pPr>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仿宋_GB2312" w:eastAsia="仿宋_GB2312"/>
          <w:color w:val="181717" w:themeColor="background2" w:themeShade="1A"/>
          <w:sz w:val="32"/>
          <w:szCs w:val="32"/>
          <w:lang w:val="en-US" w:eastAsia="zh-CN"/>
        </w:rPr>
      </w:pPr>
      <w:r>
        <w:rPr>
          <w:rFonts w:hint="eastAsia" w:ascii="仿宋_GB2312" w:eastAsia="仿宋_GB2312"/>
          <w:color w:val="000000" w:themeColor="text1" w:themeShade="80"/>
          <w:sz w:val="32"/>
          <w:szCs w:val="32"/>
          <w:lang w:eastAsia="zh-CN"/>
        </w:rPr>
        <w:t>公司对已取得相关专</w:t>
      </w:r>
      <w:r>
        <w:rPr>
          <w:rFonts w:hint="eastAsia" w:ascii="仿宋_GB2312" w:eastAsia="仿宋_GB2312"/>
          <w:color w:val="181717" w:themeColor="background2" w:themeShade="1A"/>
          <w:sz w:val="32"/>
          <w:szCs w:val="32"/>
          <w:lang w:eastAsia="zh-CN"/>
        </w:rPr>
        <w:t>业资格证书的员工，有丰厚的奖励及补贴。根据不同专业资格标准，一次性发放奖励金</w:t>
      </w:r>
      <w:r>
        <w:rPr>
          <w:rFonts w:hint="eastAsia" w:ascii="仿宋_GB2312" w:eastAsia="仿宋_GB2312"/>
          <w:color w:val="181717" w:themeColor="background2" w:themeShade="1A"/>
          <w:sz w:val="32"/>
          <w:szCs w:val="32"/>
          <w:lang w:val="en-US" w:eastAsia="zh-CN"/>
        </w:rPr>
        <w:t>3000-30000元不等，并且每月补贴600-2000元不等。</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0"/>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四、员工晋升通道</w:t>
      </w:r>
    </w:p>
    <w:tbl>
      <w:tblPr>
        <w:tblStyle w:val="7"/>
        <w:tblW w:w="825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877"/>
        <w:gridCol w:w="208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250"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default" w:ascii="仿宋_GB2312" w:hAnsi="宋体" w:eastAsia="仿宋_GB2312" w:cs="仿宋_GB2312"/>
                <w:i w:val="0"/>
                <w:color w:val="000000"/>
                <w:kern w:val="0"/>
                <w:sz w:val="32"/>
                <w:szCs w:val="32"/>
                <w:u w:val="none"/>
                <w:lang w:val="en-US" w:eastAsia="zh-CN" w:bidi="ar"/>
              </w:rPr>
            </w:pPr>
            <w:r>
              <w:rPr>
                <w:rFonts w:hint="eastAsia" w:asciiTheme="minorEastAsia" w:hAnsiTheme="minorEastAsia" w:cstheme="minorEastAsia"/>
                <w:b/>
                <w:bCs/>
                <w:i w:val="0"/>
                <w:color w:val="000000"/>
                <w:kern w:val="0"/>
                <w:sz w:val="32"/>
                <w:szCs w:val="32"/>
                <w:u w:val="none"/>
                <w:lang w:val="en-US" w:eastAsia="zh-CN" w:bidi="ar"/>
              </w:rPr>
              <w:t>晋升通道（本科）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default"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入职时间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行政序列</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管理序列</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b/>
                <w:bCs/>
                <w:i w:val="0"/>
                <w:color w:val="000000"/>
                <w:kern w:val="0"/>
                <w:sz w:val="30"/>
                <w:szCs w:val="30"/>
                <w:u w:val="none"/>
                <w:lang w:val="en-US" w:eastAsia="zh-CN" w:bidi="ar"/>
              </w:rPr>
            </w:pPr>
            <w:r>
              <w:rPr>
                <w:rFonts w:hint="eastAsia" w:ascii="仿宋_GB2312" w:hAnsi="宋体" w:eastAsia="仿宋_GB2312" w:cs="仿宋_GB2312"/>
                <w:b/>
                <w:bCs/>
                <w:i w:val="0"/>
                <w:color w:val="000000"/>
                <w:kern w:val="0"/>
                <w:sz w:val="30"/>
                <w:szCs w:val="30"/>
                <w:u w:val="none"/>
                <w:lang w:val="en-US" w:eastAsia="zh-CN" w:bidi="ar"/>
              </w:rPr>
              <w:t>技术序列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1年内</w:t>
            </w:r>
          </w:p>
        </w:tc>
        <w:tc>
          <w:tcPr>
            <w:tcW w:w="679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未定职定级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2-3年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三、二级部员</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项目技术主管</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助理级职称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3-5年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二、一级部员</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项目部门负责人</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5-8年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子公司总部部门副职</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项目总工、副经理</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中、高级职称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8-10年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子公司总部部门负责人</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三级项目经理</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10-12年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子公司总经理助理级领导</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二级项目经理</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12-15年</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子公司领导班子副职、</w:t>
            </w:r>
          </w:p>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集团公司部门副职</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一级项目经理</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正高级职称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15年以后</w:t>
            </w:r>
          </w:p>
        </w:tc>
        <w:tc>
          <w:tcPr>
            <w:tcW w:w="2877"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子公司主管领导、</w:t>
            </w:r>
          </w:p>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集团公司部门负责人</w:t>
            </w:r>
          </w:p>
        </w:tc>
        <w:tc>
          <w:tcPr>
            <w:tcW w:w="2085"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特级项目经理</w:t>
            </w:r>
          </w:p>
        </w:tc>
        <w:tc>
          <w:tcPr>
            <w:tcW w:w="1830" w:type="dxa"/>
            <w:vAlign w:val="center"/>
          </w:tcPr>
          <w:p>
            <w:pPr>
              <w:keepNext w:val="0"/>
              <w:keepLines w:val="0"/>
              <w:pageBreakBefore w:val="0"/>
              <w:widowControl/>
              <w:suppressLineNumbers w:val="0"/>
              <w:kinsoku/>
              <w:wordWrap/>
              <w:overflowPunct/>
              <w:topLinePunct w:val="0"/>
              <w:autoSpaceDE/>
              <w:autoSpaceDN/>
              <w:bidi w:val="0"/>
              <w:adjustRightInd/>
              <w:snapToGrid/>
              <w:spacing w:line="476" w:lineRule="exact"/>
              <w:jc w:val="center"/>
              <w:textAlignment w:val="center"/>
              <w:outlineLvl w:val="9"/>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集团公司专家</w:t>
            </w:r>
          </w:p>
        </w:tc>
      </w:tr>
    </w:tbl>
    <w:p>
      <w:pPr>
        <w:keepNext w:val="0"/>
        <w:keepLines w:val="0"/>
        <w:pageBreakBefore w:val="0"/>
        <w:widowControl w:val="0"/>
        <w:kinsoku/>
        <w:wordWrap/>
        <w:overflowPunct/>
        <w:topLinePunct w:val="0"/>
        <w:autoSpaceDE/>
        <w:autoSpaceDN/>
        <w:bidi w:val="0"/>
        <w:adjustRightInd/>
        <w:snapToGrid/>
        <w:spacing w:before="313" w:beforeLines="100"/>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五、招聘流程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校园招聘：</w:t>
      </w:r>
      <w:r>
        <w:rPr>
          <w:rFonts w:hint="eastAsia" w:ascii="仿宋_GB2312" w:hAnsi="仿宋_GB2312" w:eastAsia="仿宋_GB2312" w:cs="仿宋_GB2312"/>
          <w:sz w:val="32"/>
          <w:szCs w:val="32"/>
        </w:rPr>
        <w:t>专场宣讲</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投递简历－－初选－－面试－－签订三方协议。</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线上招聘：网络宣讲会（</w:t>
      </w:r>
      <w:r>
        <w:rPr>
          <w:rFonts w:hint="eastAsia" w:ascii="仿宋_GB2312" w:hAnsi="仿宋_GB2312" w:eastAsia="仿宋_GB2312" w:cs="仿宋_GB2312"/>
          <w:sz w:val="32"/>
          <w:szCs w:val="32"/>
          <w:lang w:val="en-US" w:eastAsia="zh-CN"/>
        </w:rPr>
        <w:t>直播）</w:t>
      </w:r>
      <w:r>
        <w:rPr>
          <w:rFonts w:hint="eastAsia" w:ascii="仿宋_GB2312" w:hAnsi="仿宋_GB2312" w:eastAsia="仿宋_GB2312" w:cs="仿宋_GB2312"/>
          <w:sz w:val="32"/>
          <w:szCs w:val="32"/>
          <w:lang w:eastAsia="zh-CN"/>
        </w:rPr>
        <w:t>——提交简历至邮箱——资格审查——网络视频面试——发送</w:t>
      </w:r>
      <w:r>
        <w:rPr>
          <w:rFonts w:hint="eastAsia" w:ascii="仿宋_GB2312" w:hAnsi="仿宋_GB2312" w:eastAsia="仿宋_GB2312" w:cs="仿宋_GB2312"/>
          <w:sz w:val="32"/>
          <w:szCs w:val="32"/>
          <w:lang w:val="en-US" w:eastAsia="zh-CN"/>
        </w:rPr>
        <w:t>offer——签订三方协议</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六、应聘提示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应聘时，需携带个人简历、就业推荐表、学习成绩单</w:t>
      </w:r>
      <w:r>
        <w:rPr>
          <w:rFonts w:hint="eastAsia" w:ascii="仿宋_GB2312" w:hAnsi="仿宋_GB2312" w:eastAsia="仿宋_GB2312" w:cs="仿宋_GB2312"/>
          <w:sz w:val="32"/>
          <w:szCs w:val="32"/>
          <w:lang w:eastAsia="zh-CN"/>
        </w:rPr>
        <w:t>、奖励证书等</w:t>
      </w:r>
      <w:r>
        <w:rPr>
          <w:rFonts w:hint="eastAsia" w:ascii="仿宋_GB2312" w:hAnsi="仿宋_GB2312" w:eastAsia="仿宋_GB2312" w:cs="仿宋_GB2312"/>
          <w:sz w:val="32"/>
          <w:szCs w:val="32"/>
        </w:rPr>
        <w:t>证件原件和复印件</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线上投递简历，需准备好电子版</w:t>
      </w:r>
      <w:r>
        <w:rPr>
          <w:rFonts w:hint="eastAsia" w:ascii="仿宋_GB2312" w:hAnsi="仿宋_GB2312" w:eastAsia="仿宋_GB2312" w:cs="仿宋_GB2312"/>
          <w:sz w:val="32"/>
          <w:szCs w:val="32"/>
        </w:rPr>
        <w:t>个人简历</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就业推荐表、学习成绩单</w:t>
      </w:r>
      <w:r>
        <w:rPr>
          <w:rFonts w:hint="eastAsia" w:ascii="仿宋_GB2312" w:hAnsi="仿宋_GB2312" w:eastAsia="仿宋_GB2312" w:cs="仿宋_GB2312"/>
          <w:sz w:val="32"/>
          <w:szCs w:val="32"/>
          <w:lang w:eastAsia="zh-CN"/>
        </w:rPr>
        <w:t>、奖励证书等</w:t>
      </w:r>
      <w:r>
        <w:rPr>
          <w:rFonts w:hint="eastAsia" w:ascii="仿宋_GB2312" w:hAnsi="仿宋_GB2312" w:eastAsia="仿宋_GB2312" w:cs="仿宋_GB2312"/>
          <w:sz w:val="32"/>
          <w:szCs w:val="32"/>
        </w:rPr>
        <w:t>证件</w:t>
      </w:r>
      <w:r>
        <w:rPr>
          <w:rFonts w:hint="eastAsia" w:ascii="仿宋_GB2312" w:hAnsi="仿宋_GB2312" w:eastAsia="仿宋_GB2312" w:cs="仿宋_GB2312"/>
          <w:sz w:val="32"/>
          <w:szCs w:val="32"/>
          <w:lang w:eastAsia="zh-CN"/>
        </w:rPr>
        <w:t>的电子版扫描件。</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七、联系方式</w:t>
      </w:r>
    </w:p>
    <w:p>
      <w:pPr>
        <w:numPr>
          <w:ilvl w:val="0"/>
          <w:numId w:val="0"/>
        </w:numPr>
        <w:ind w:leftChars="200"/>
        <w:jc w:val="both"/>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集团公司地址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四川省成都市二环路西二段10-1号</w:t>
      </w:r>
    </w:p>
    <w:p>
      <w:pPr>
        <w:numPr>
          <w:ilvl w:val="0"/>
          <w:numId w:val="0"/>
        </w:numPr>
        <w:ind w:leftChars="200"/>
        <w:jc w:val="both"/>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简历投递邮箱</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ascii="宋体" w:hAnsi="宋体" w:eastAsia="宋体" w:cs="宋体"/>
          <w:b w:val="0"/>
          <w:bCs/>
          <w:sz w:val="32"/>
          <w:szCs w:val="32"/>
        </w:rPr>
        <w:t>23grlzyb@crcc.cn</w:t>
      </w:r>
      <w:r>
        <w:rPr>
          <w:rFonts w:hint="eastAsia" w:ascii="宋体" w:hAnsi="宋体" w:eastAsia="宋体" w:cs="宋体"/>
          <w:b w:val="0"/>
          <w:bCs/>
          <w:sz w:val="32"/>
          <w:szCs w:val="32"/>
          <w:lang w:eastAsia="zh-CN"/>
        </w:rPr>
        <w:t>（</w:t>
      </w:r>
      <w:r>
        <w:rPr>
          <w:rFonts w:hint="eastAsia" w:ascii="仿宋_GB2312" w:hAnsi="仿宋_GB2312" w:eastAsia="仿宋_GB2312" w:cs="仿宋_GB2312"/>
          <w:b/>
          <w:bCs/>
          <w:sz w:val="32"/>
          <w:szCs w:val="32"/>
          <w:lang w:eastAsia="zh-CN"/>
        </w:rPr>
        <w:t>简历投递</w:t>
      </w:r>
      <w:r>
        <w:rPr>
          <w:rFonts w:hint="eastAsia" w:ascii="仿宋_GB2312" w:hAnsi="仿宋_GB2312" w:eastAsia="仿宋_GB2312" w:cs="仿宋_GB2312"/>
          <w:b/>
          <w:bCs/>
          <w:sz w:val="32"/>
          <w:szCs w:val="32"/>
        </w:rPr>
        <w:t>邮件主题一定要标明“姓名+学校+专业+学历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numPr>
          <w:ilvl w:val="0"/>
          <w:numId w:val="0"/>
        </w:numPr>
        <w:ind w:leftChars="200"/>
        <w:jc w:val="both"/>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联系人</w:t>
      </w:r>
      <w:r>
        <w:rPr>
          <w:rFonts w:hint="eastAsia" w:ascii="楷体" w:hAnsi="楷体" w:eastAsia="楷体" w:cs="楷体"/>
          <w:b/>
          <w:bCs/>
          <w:sz w:val="32"/>
          <w:szCs w:val="32"/>
          <w:lang w:eastAsia="zh-CN"/>
        </w:rPr>
        <w:t>及招聘学校区域</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何老师：028-68311099，13540711020</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招聘学校区域：</w:t>
      </w:r>
      <w:r>
        <w:rPr>
          <w:rFonts w:hint="eastAsia" w:ascii="仿宋_GB2312" w:hAnsi="仿宋_GB2312" w:eastAsia="仿宋_GB2312" w:cs="仿宋_GB2312"/>
          <w:sz w:val="32"/>
          <w:szCs w:val="32"/>
          <w:lang w:eastAsia="zh-CN"/>
        </w:rPr>
        <w:t>北京、</w:t>
      </w:r>
      <w:r>
        <w:rPr>
          <w:rFonts w:hint="eastAsia" w:ascii="仿宋_GB2312" w:hAnsi="仿宋_GB2312" w:eastAsia="仿宋_GB2312" w:cs="仿宋_GB2312"/>
          <w:sz w:val="32"/>
          <w:szCs w:val="32"/>
        </w:rPr>
        <w:t>山东、山西、河南、河北</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郭老师：028-68311125，13699001620</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招聘学校区域：天津、内蒙</w:t>
      </w:r>
      <w:r>
        <w:rPr>
          <w:rFonts w:hint="eastAsia" w:ascii="仿宋_GB2312" w:hAnsi="仿宋_GB2312" w:eastAsia="仿宋_GB2312" w:cs="仿宋_GB2312"/>
          <w:sz w:val="32"/>
          <w:szCs w:val="32"/>
          <w:lang w:val="en-US" w:eastAsia="zh-CN"/>
        </w:rPr>
        <w:t>古</w:t>
      </w:r>
      <w:r>
        <w:rPr>
          <w:rFonts w:hint="eastAsia" w:ascii="仿宋_GB2312" w:hAnsi="仿宋_GB2312" w:eastAsia="仿宋_GB2312" w:cs="仿宋_GB2312"/>
          <w:sz w:val="32"/>
          <w:szCs w:val="32"/>
        </w:rPr>
        <w:t>、黑龙江、吉林、辽宁</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侯老师： 028-68311392，13438902227</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招聘学校区域：陕西、甘肃</w:t>
      </w:r>
      <w:bookmarkStart w:id="0" w:name="_GoBack"/>
      <w:bookmarkEnd w:id="0"/>
      <w:r>
        <w:rPr>
          <w:rFonts w:hint="eastAsia" w:ascii="仿宋_GB2312" w:hAnsi="仿宋_GB2312" w:eastAsia="仿宋_GB2312" w:cs="仿宋_GB2312"/>
          <w:sz w:val="32"/>
          <w:szCs w:val="32"/>
        </w:rPr>
        <w:t>、宁夏、青海、重庆、西藏、新</w:t>
      </w:r>
      <w:r>
        <w:rPr>
          <w:rFonts w:hint="eastAsia" w:ascii="仿宋_GB2312" w:hAnsi="仿宋_GB2312" w:eastAsia="仿宋_GB2312" w:cs="仿宋_GB2312"/>
          <w:sz w:val="32"/>
          <w:szCs w:val="32"/>
          <w:lang w:val="en-US" w:eastAsia="zh-CN"/>
        </w:rPr>
        <w:t>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吴老师：028-68311132，15202884976</w:t>
      </w:r>
    </w:p>
    <w:p>
      <w:pPr>
        <w:keepNext w:val="0"/>
        <w:keepLines w:val="0"/>
        <w:pageBreakBefore w:val="0"/>
        <w:widowControl w:val="0"/>
        <w:kinsoku/>
        <w:wordWrap/>
        <w:overflowPunct/>
        <w:topLinePunct w:val="0"/>
        <w:autoSpaceDE/>
        <w:autoSpaceDN/>
        <w:bidi w:val="0"/>
        <w:adjustRightInd/>
        <w:snapToGrid/>
        <w:spacing w:after="157" w:afterLines="50"/>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招聘学校区域：四川、湖南、云南、广西、贵州</w:t>
      </w:r>
      <w:r>
        <w:rPr>
          <w:rFonts w:hint="eastAsia" w:ascii="仿宋_GB2312" w:hAnsi="仿宋_GB2312" w:eastAsia="仿宋_GB2312" w:cs="仿宋_GB2312"/>
          <w:sz w:val="32"/>
          <w:szCs w:val="32"/>
          <w:lang w:eastAsia="zh-CN"/>
        </w:rPr>
        <w:t>、港澳台、海外</w:t>
      </w:r>
    </w:p>
    <w:p>
      <w:pPr>
        <w:keepNext w:val="0"/>
        <w:keepLines w:val="0"/>
        <w:pageBreakBefore w:val="0"/>
        <w:widowControl w:val="0"/>
        <w:kinsoku/>
        <w:wordWrap/>
        <w:overflowPunct/>
        <w:topLinePunct w:val="0"/>
        <w:autoSpaceDE/>
        <w:autoSpaceDN/>
        <w:bidi w:val="0"/>
        <w:adjustRightInd/>
        <w:snapToGrid/>
        <w:ind w:left="958" w:leftChars="304" w:hanging="320" w:hanging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徐老师：028-68311203，18200291858</w:t>
      </w:r>
    </w:p>
    <w:p>
      <w:pPr>
        <w:keepNext w:val="0"/>
        <w:keepLines w:val="0"/>
        <w:pageBreakBefore w:val="0"/>
        <w:widowControl w:val="0"/>
        <w:kinsoku/>
        <w:wordWrap w:val="0"/>
        <w:overflowPunct/>
        <w:topLinePunct w:val="0"/>
        <w:autoSpaceDE/>
        <w:autoSpaceDN/>
        <w:bidi w:val="0"/>
        <w:adjustRightInd/>
        <w:snapToGrid/>
        <w:spacing w:after="157" w:afterLines="50"/>
        <w:ind w:firstLine="640" w:firstLineChars="200"/>
        <w:jc w:val="left"/>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sz w:val="32"/>
          <w:szCs w:val="32"/>
        </w:rPr>
        <w:t>招聘学校区域：湖北、安徽、江西、上海、江苏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181717" w:themeColor="background2" w:themeShade="1A"/>
          <w:sz w:val="32"/>
          <w:szCs w:val="32"/>
          <w:lang w:eastAsia="zh-CN"/>
        </w:rPr>
        <w:t>广东、浙江、福建、海南</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lang w:eastAsia="zh-CN"/>
        </w:rPr>
        <w:t>下属子公司名称、地址：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第一工程有限公司：山东省日照市黄海二路65号。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第二工程有限公司：黑龙江齐齐哈尔站前南大街</w:t>
      </w:r>
      <w:r>
        <w:rPr>
          <w:rFonts w:hint="eastAsia" w:ascii="仿宋_GB2312" w:hAnsi="仿宋_GB2312" w:eastAsia="仿宋_GB2312" w:cs="仿宋_GB2312"/>
          <w:sz w:val="32"/>
          <w:szCs w:val="32"/>
          <w:lang w:val="en-US" w:eastAsia="zh-CN"/>
        </w:rPr>
        <w:t>270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第三工程有限公司：</w:t>
      </w: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rPr>
        <w:t>成都市温江区天府街中段336号。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第四工程有限公司：</w:t>
      </w:r>
      <w:r>
        <w:rPr>
          <w:rFonts w:hint="eastAsia" w:ascii="仿宋_GB2312" w:hAnsi="仿宋_GB2312" w:eastAsia="仿宋_GB2312" w:cs="仿宋_GB2312"/>
          <w:sz w:val="32"/>
          <w:szCs w:val="32"/>
          <w:lang w:val="en-US" w:eastAsia="zh-CN"/>
        </w:rPr>
        <w:t>四川省</w:t>
      </w:r>
      <w:r>
        <w:rPr>
          <w:rFonts w:hint="eastAsia" w:ascii="仿宋_GB2312" w:hAnsi="仿宋_GB2312" w:eastAsia="仿宋_GB2312" w:cs="仿宋_GB2312"/>
          <w:sz w:val="32"/>
          <w:szCs w:val="32"/>
        </w:rPr>
        <w:t>成都市青羊区工业集中发展区G区8栋。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轨道交通工程有限公司：上海市南汇区惠南镇城南路335号。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第六工程有限公司：重庆市北部新区金开大道68号。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电务工程有限公司：天津市南开区密云一支路燕宇花园45号。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建筑设计研究院有限公司：四川省成都市东门街84号，四川省达州市通川区张家湾路2号。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（湖北）爆破有限公司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湖北省武汉市青山区和平大道1244号47栋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工程检测有限公司：四川省成都市温江区天府街中段336号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九、其他事项</w:t>
      </w:r>
    </w:p>
    <w:p>
      <w:pPr>
        <w:keepNext w:val="0"/>
        <w:keepLines w:val="0"/>
        <w:pageBreakBefore w:val="0"/>
        <w:widowControl w:val="0"/>
        <w:numPr>
          <w:ilvl w:val="0"/>
          <w:numId w:val="2"/>
        </w:numPr>
        <w:kinsoku/>
        <w:wordWrap/>
        <w:overflowPunct/>
        <w:topLinePunct w:val="0"/>
        <w:autoSpaceDE/>
        <w:autoSpaceDN/>
        <w:bidi w:val="0"/>
        <w:adjustRightInd/>
        <w:snapToGrid/>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中铁二十三局集团官网：http://www.cr23g.com</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中铁二十三局集团公众号：</w:t>
      </w:r>
    </w:p>
    <w:p>
      <w:pPr>
        <w:keepNext w:val="0"/>
        <w:keepLines w:val="0"/>
        <w:pageBreakBefore w:val="0"/>
        <w:widowControl w:val="0"/>
        <w:numPr>
          <w:ilvl w:val="0"/>
          <w:numId w:val="0"/>
        </w:numPr>
        <w:kinsoku/>
        <w:wordWrap/>
        <w:overflowPunct/>
        <w:topLinePunct w:val="0"/>
        <w:autoSpaceDE/>
        <w:autoSpaceDN/>
        <w:bidi w:val="0"/>
        <w:adjustRightInd/>
        <w:snapToGrid/>
        <w:ind w:leftChars="200"/>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drawing>
          <wp:inline distT="0" distB="0" distL="114300" distR="114300">
            <wp:extent cx="1228725" cy="1228725"/>
            <wp:effectExtent l="0" t="0" r="9525" b="9525"/>
            <wp:docPr id="2" name="图片 2" descr="集团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公司微信公众号"/>
                    <pic:cNvPicPr>
                      <a:picLocks noChangeAspect="1"/>
                    </pic:cNvPicPr>
                  </pic:nvPicPr>
                  <pic:blipFill>
                    <a:blip r:embed="rId5"/>
                    <a:stretch>
                      <a:fillRect/>
                    </a:stretch>
                  </pic:blipFill>
                  <pic:spPr>
                    <a:xfrm>
                      <a:off x="0" y="0"/>
                      <a:ext cx="1228725" cy="1228725"/>
                    </a:xfrm>
                    <a:prstGeom prst="rect">
                      <a:avLst/>
                    </a:prstGeom>
                  </pic:spPr>
                </pic:pic>
              </a:graphicData>
            </a:graphic>
          </wp:inline>
        </w:drawing>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rPr>
      </w:pPr>
    </w:p>
    <w:p>
      <w:pPr>
        <w:numPr>
          <w:ilvl w:val="0"/>
          <w:numId w:val="0"/>
        </w:numPr>
        <w:rPr>
          <w:rFonts w:hint="default"/>
          <w:b/>
          <w:bCs/>
          <w:sz w:val="28"/>
          <w:szCs w:val="28"/>
          <w:lang w:val="en-US" w:eastAsia="zh-CN"/>
        </w:rPr>
      </w:pPr>
    </w:p>
    <w:sectPr>
      <w:footerReference r:id="rId3" w:type="default"/>
      <w:pgSz w:w="11906" w:h="16838"/>
      <w:pgMar w:top="1440" w:right="1423" w:bottom="1440" w:left="142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E3F"/>
    <w:multiLevelType w:val="singleLevel"/>
    <w:tmpl w:val="00642E3F"/>
    <w:lvl w:ilvl="0" w:tentative="0">
      <w:start w:val="2"/>
      <w:numFmt w:val="chineseCounting"/>
      <w:suff w:val="nothing"/>
      <w:lvlText w:val="（%1）"/>
      <w:lvlJc w:val="left"/>
      <w:rPr>
        <w:rFonts w:hint="eastAsia"/>
      </w:rPr>
    </w:lvl>
  </w:abstractNum>
  <w:abstractNum w:abstractNumId="1">
    <w:nsid w:val="0205A39D"/>
    <w:multiLevelType w:val="singleLevel"/>
    <w:tmpl w:val="0205A39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820C0"/>
    <w:rsid w:val="207563F1"/>
    <w:rsid w:val="250660C3"/>
    <w:rsid w:val="313F169F"/>
    <w:rsid w:val="3A9942E5"/>
    <w:rsid w:val="43B0046E"/>
    <w:rsid w:val="4CE75EE3"/>
    <w:rsid w:val="5A5A09DB"/>
    <w:rsid w:val="5BFB4DEE"/>
    <w:rsid w:val="77EA5CC0"/>
    <w:rsid w:val="7D7570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240" w:lineRule="auto"/>
      <w:jc w:val="left"/>
      <w:outlineLvl w:val="1"/>
    </w:pPr>
    <w:rPr>
      <w:rFonts w:ascii="Arial" w:hAnsi="Arial"/>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2458</Words>
  <Characters>2735</Characters>
  <Lines>0</Lines>
  <Paragraphs>0</Paragraphs>
  <TotalTime>1</TotalTime>
  <ScaleCrop>false</ScaleCrop>
  <LinksUpToDate>false</LinksUpToDate>
  <CharactersWithSpaces>2741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2020-09-01T18:24:00Z</dcterms:created>
  <dc:creator>。</dc:creator>
  <cp:lastModifiedBy>username</cp:lastModifiedBy>
  <dcterms:modified xsi:type="dcterms:W3CDTF">2021-08-20T02:09:07Z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