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ind w:firstLine="1540" w:firstLineChars="350"/>
        <w:jc w:val="both"/>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中铁隧道局集团有限公司</w:t>
      </w:r>
    </w:p>
    <w:p>
      <w:pPr>
        <w:pStyle w:val="2"/>
        <w:shd w:val="clear" w:color="auto" w:fill="FFFFFF"/>
        <w:spacing w:before="0" w:beforeAutospacing="0" w:after="0" w:afterAutospacing="0" w:line="560" w:lineRule="exact"/>
        <w:jc w:val="both"/>
        <w:rPr>
          <w:rFonts w:ascii="方正小标宋简体" w:hAnsi="Times New Roman" w:eastAsia="方正小标宋简体" w:cs="Times New Roman"/>
          <w:b/>
          <w:sz w:val="36"/>
          <w:szCs w:val="36"/>
        </w:rPr>
      </w:pPr>
      <w:r>
        <w:rPr>
          <w:rFonts w:hint="eastAsia" w:ascii="方正小标宋简体" w:hAnsi="Times New Roman" w:eastAsia="方正小标宋简体" w:cs="Times New Roman"/>
          <w:sz w:val="44"/>
          <w:szCs w:val="44"/>
        </w:rPr>
        <w:t xml:space="preserve">      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届高校毕业生校园招聘简章</w:t>
      </w:r>
    </w:p>
    <w:p>
      <w:pPr>
        <w:pStyle w:val="2"/>
        <w:shd w:val="clear" w:color="auto" w:fill="FFFFFF"/>
        <w:spacing w:before="0" w:beforeAutospacing="0" w:after="0" w:afterAutospacing="0" w:line="560" w:lineRule="exact"/>
        <w:jc w:val="both"/>
        <w:rPr>
          <w:rFonts w:ascii="仿宋_GB2312" w:hAnsi="Times New Roman" w:eastAsia="仿宋_GB2312" w:cs="Times New Roman"/>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一、企业简介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铁隧道局集团是隧道和地下工程领域专业工程承包商，隶属于世界500强中国中铁股份有限公司，集勘测设计、建筑施工、科研开发、机械修造四大功能为一体，业务涵盖铁路、公路、市政、房建、水利水电、机电安装工程施工总承包和隧道、桥梁、公路路基、铁路铺架等专业承包以及设计、机械制造、科研咨询等领域。具有铁路工程、公路工程、市政公用工程施工总承包特级资质，铁道行业甲Ⅱ级、公路行业甲级、市政行业甲级设计资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企业注册资本29.98亿元，所有者权益59.33亿元，资产总额296.29亿元。在建项目300多个，</w:t>
      </w:r>
      <w:r>
        <w:rPr>
          <w:rFonts w:ascii="仿宋_GB2312" w:hAnsi="等线" w:eastAsia="仿宋_GB2312" w:cs="仿宋_GB2312"/>
          <w:sz w:val="32"/>
          <w:szCs w:val="32"/>
        </w:rPr>
        <w:t>全集团员工总数</w:t>
      </w:r>
      <w:r>
        <w:rPr>
          <w:rFonts w:hint="eastAsia" w:ascii="仿宋_GB2312" w:hAnsi="等线" w:eastAsia="仿宋_GB2312" w:cs="仿宋_GB2312"/>
          <w:sz w:val="32"/>
          <w:szCs w:val="32"/>
        </w:rPr>
        <w:t>14667人，拥有管理、专业技术人员9035人，其中国家级有突出贡献专家1人，享受国务院政府特殊津贴9人，“国家百千万人才工程”1人，全国技术能手1人，中原学者1人。</w:t>
      </w:r>
      <w:r>
        <w:rPr>
          <w:rFonts w:ascii="仿宋_GB2312" w:hAnsi="等线" w:eastAsia="仿宋_GB2312" w:cs="仿宋_GB2312"/>
          <w:sz w:val="32"/>
          <w:szCs w:val="32"/>
        </w:rPr>
        <w:t>年隧道施工能力超过</w:t>
      </w:r>
      <w:r>
        <w:rPr>
          <w:rFonts w:hint="eastAsia" w:ascii="仿宋_GB2312" w:hAnsi="等线" w:eastAsia="仿宋_GB2312" w:cs="仿宋_GB2312"/>
          <w:sz w:val="32"/>
          <w:szCs w:val="32"/>
        </w:rPr>
        <w:t>500公里，累计建设各类隧道9000余公里、约占全国隧道总长的10％。完成穿越江河湖海60余次，居同类企业之首。创造了7穿黄、东、南海、6穿长江黄河、9穿珠江的水下隧道施工记录。正在施工直径15.8米的国内在建最大直径盾构隧道，大盾构施工技术行业领先。参与了我国42座城市的地铁建设。</w:t>
      </w:r>
      <w:r>
        <w:rPr>
          <w:rFonts w:ascii="仿宋_GB2312" w:hAnsi="等线" w:eastAsia="仿宋_GB2312" w:cs="仿宋_GB2312"/>
          <w:sz w:val="32"/>
          <w:szCs w:val="32"/>
        </w:rPr>
        <w:t>拥有</w:t>
      </w:r>
      <w:r>
        <w:rPr>
          <w:rFonts w:hint="eastAsia" w:ascii="仿宋_GB2312" w:hAnsi="等线" w:eastAsia="仿宋_GB2312" w:cs="仿宋_GB2312"/>
          <w:sz w:val="32"/>
          <w:szCs w:val="32"/>
        </w:rPr>
        <w:t>TBM、盾构113台，是国内保有数量最多、门类最齐全的同类施工企业。</w:t>
      </w:r>
      <w:r>
        <w:rPr>
          <w:rFonts w:hint="eastAsia" w:ascii="仿宋_GB2312" w:hAnsi="仿宋_GB2312" w:eastAsia="仿宋_GB2312" w:cs="仿宋_GB2312"/>
          <w:sz w:val="32"/>
          <w:szCs w:val="32"/>
        </w:rPr>
        <w:t>先后参与70多条国家重点铁路线路关键长大隧道项目建设，参与国内37个城市的轨道交通建设，年隧道施工能力在500公里以上。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拥有国家级企业技术中心1个，盾构及掘进技术国家重点实验室1个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广东省隧道结构智能监控与维护重点实验室1个，全国博士后科研工作站1个</w:t>
      </w:r>
      <w:r>
        <w:rPr>
          <w:rFonts w:hint="eastAsia" w:ascii="仿宋_GB2312" w:hAnsi="仿宋_GB2312" w:eastAsia="仿宋_GB2312" w:cs="仿宋_GB2312"/>
          <w:sz w:val="32"/>
          <w:szCs w:val="32"/>
        </w:rPr>
        <w:t>。</w:t>
      </w:r>
      <w:r>
        <w:rPr>
          <w:rFonts w:ascii="仿宋_GB2312" w:hAnsi="等线" w:eastAsia="仿宋_GB2312" w:cs="仿宋_GB2312"/>
          <w:sz w:val="32"/>
          <w:szCs w:val="32"/>
        </w:rPr>
        <w:t>迄今共有</w:t>
      </w:r>
      <w:r>
        <w:rPr>
          <w:rFonts w:hint="eastAsia" w:ascii="仿宋_GB2312" w:hAnsi="等线" w:eastAsia="仿宋_GB2312" w:cs="仿宋_GB2312"/>
          <w:sz w:val="32"/>
          <w:szCs w:val="32"/>
        </w:rPr>
        <w:t>700余项科研成果通过鉴定、评审或验收，其中国家科技进步奖15项（含特等奖1项、一等奖3项、二等奖8项），省部级科技进步奖300余项；拥有工法500余项，其中国家级工法27项、省部级工法160项；获得知识产权470余项，其中发明专利170项，软件著作权15项，外观设计11项；累计获鲁班奖21项，詹天佑大奖37项，国家优质工程奖47项，全国市政金杯奖11项，国际项目管理银奖1项。</w:t>
      </w:r>
    </w:p>
    <w:p>
      <w:pPr>
        <w:spacing w:line="460" w:lineRule="exact"/>
        <w:ind w:firstLine="640" w:firstLineChars="200"/>
        <w:rPr>
          <w:rFonts w:hint="eastAsia" w:ascii="仿宋_GB2312" w:hAnsi="仿宋_GB2312" w:eastAsia="仿宋_GB2312" w:cs="仿宋_GB2312"/>
          <w:sz w:val="32"/>
          <w:szCs w:val="32"/>
        </w:rPr>
      </w:pPr>
    </w:p>
    <w:p>
      <w:pPr>
        <w:spacing w:line="560" w:lineRule="exact"/>
        <w:ind w:firstLine="627" w:firstLineChars="196"/>
        <w:rPr>
          <w:rFonts w:ascii="黑体" w:hAnsi="黑体" w:eastAsia="黑体" w:cs="黑体"/>
          <w:kern w:val="0"/>
          <w:sz w:val="32"/>
          <w:szCs w:val="32"/>
        </w:rPr>
      </w:pPr>
      <w:r>
        <w:rPr>
          <w:rFonts w:hint="eastAsia" w:ascii="黑体" w:hAnsi="黑体" w:eastAsia="黑体" w:cs="黑体"/>
          <w:kern w:val="0"/>
          <w:sz w:val="32"/>
          <w:szCs w:val="32"/>
        </w:rPr>
        <w:t>二、集团各单位信息</w:t>
      </w:r>
    </w:p>
    <w:tbl>
      <w:tblPr>
        <w:tblStyle w:val="3"/>
        <w:tblW w:w="8958" w:type="dxa"/>
        <w:jc w:val="center"/>
        <w:tblLayout w:type="fixed"/>
        <w:tblCellMar>
          <w:top w:w="15" w:type="dxa"/>
          <w:left w:w="15" w:type="dxa"/>
          <w:bottom w:w="15" w:type="dxa"/>
          <w:right w:w="15" w:type="dxa"/>
        </w:tblCellMar>
      </w:tblPr>
      <w:tblGrid>
        <w:gridCol w:w="385"/>
        <w:gridCol w:w="2814"/>
        <w:gridCol w:w="1009"/>
        <w:gridCol w:w="1050"/>
        <w:gridCol w:w="1530"/>
        <w:gridCol w:w="2170"/>
      </w:tblGrid>
      <w:tr>
        <w:tblPrEx>
          <w:tblCellMar>
            <w:top w:w="15" w:type="dxa"/>
            <w:left w:w="15" w:type="dxa"/>
            <w:bottom w:w="15" w:type="dxa"/>
            <w:right w:w="15" w:type="dxa"/>
          </w:tblCellMar>
        </w:tblPrEx>
        <w:trPr>
          <w:trHeight w:val="49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序</w:t>
            </w:r>
          </w:p>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号</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单位名称</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单位</w:t>
            </w:r>
          </w:p>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驻地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联系人</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联系电话</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招聘邮箱</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中铁隧道局集团有限公司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马</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13332870770</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CRTGRLB@163.com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中铁隧道股份有限公司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 xml:space="preserve"> 郑州市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石老师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15824866922</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ztsdgfzp@163.com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中铁隧道集团一处有限公司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重庆市</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赵老师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18523421077</w:t>
            </w:r>
            <w:r>
              <w:rPr>
                <w:rFonts w:ascii="宋体" w:hAnsi="宋体" w:eastAsia="宋体" w:cs="宋体"/>
                <w:sz w:val="24"/>
                <w:szCs w:val="24"/>
              </w:rPr>
              <w:t xml:space="preserve"> </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ztsdycrlb@163.com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4</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中铁隧道集团二处有限公司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 xml:space="preserve"> 河北燕郊</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夏老师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18336765708</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zsecrlb@163.com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5</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中铁隧道集团三处有限公司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深圳</w:t>
            </w:r>
            <w:bookmarkStart w:id="0" w:name="_GoBack"/>
            <w:bookmarkEnd w:id="0"/>
            <w:r>
              <w:rPr>
                <w:rFonts w:hint="eastAsia" w:asciiTheme="minorEastAsia" w:hAnsiTheme="minorEastAsia" w:eastAsiaTheme="minorEastAsia" w:cstheme="minorEastAsia"/>
                <w:color w:val="000000"/>
                <w:kern w:val="0"/>
                <w:szCs w:val="21"/>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党</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18740359688</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Style w:val="5"/>
                <w:rFonts w:hint="eastAsia" w:asciiTheme="minorEastAsia" w:hAnsiTheme="minorEastAsia" w:eastAsiaTheme="minorEastAsia" w:cstheme="minorEastAsia"/>
                <w:color w:val="auto"/>
                <w:szCs w:val="21"/>
              </w:rPr>
              <w:t>1394940701@qq.com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6</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中铁隧道局集团建设有限公司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南宁市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谢</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18993538224</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482135105@qq.com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7</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中铁隧道局集团路桥工程有限公司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天津市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13611336319</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ztsdwczp@163.com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8</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中铁隧道局集团有限公司市政工程公司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杭州市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姜</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18225546710</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hangzhougongsizp@</w:t>
            </w:r>
          </w:p>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9</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中铁隧道集团勘察设计研究院</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18100229379</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ascii="宋体" w:hAnsi="宋体" w:eastAsia="宋体" w:cs="宋体"/>
                <w:sz w:val="20"/>
                <w:szCs w:val="20"/>
              </w:rPr>
              <w:t xml:space="preserve">22914955 </w:t>
            </w:r>
            <w:r>
              <w:rPr>
                <w:rFonts w:hint="eastAsia" w:asciiTheme="minorEastAsia" w:hAnsiTheme="minorEastAsia" w:eastAsiaTheme="minorEastAsia" w:cstheme="minorEastAsia"/>
                <w:szCs w:val="21"/>
              </w:rPr>
              <w:t>@qq.com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10</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中铁隧道局集团有限公司国际事业部 </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val="en-US" w:eastAsia="zh-CN"/>
              </w:rPr>
              <w:t>广州</w:t>
            </w:r>
            <w:r>
              <w:rPr>
                <w:rFonts w:hint="eastAsia" w:asciiTheme="minorEastAsia" w:hAnsiTheme="minorEastAsia" w:eastAsiaTheme="minorEastAsia" w:cstheme="minorEastAsia"/>
                <w:color w:val="000000"/>
                <w:kern w:val="0"/>
                <w:szCs w:val="21"/>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王老师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13613798634</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wang.shuaipeng@crtg.cn</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11</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中铁隧道集团机电工程有限公司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洛阳市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王老师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18538802577</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758130483@qq.com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12</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盾构及掘进技术国家重点实验室</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郑州市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张老师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18637979110</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728997523@qq.com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13</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中铁隧道局集团物资分公司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val="en-US" w:eastAsia="zh-CN"/>
              </w:rPr>
              <w:t>洛阳</w:t>
            </w:r>
            <w:r>
              <w:rPr>
                <w:rFonts w:hint="eastAsia" w:asciiTheme="minorEastAsia" w:hAnsiTheme="minorEastAsia" w:eastAsiaTheme="minorEastAsia" w:cstheme="minorEastAsia"/>
                <w:color w:val="000000"/>
                <w:kern w:val="0"/>
                <w:szCs w:val="21"/>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张老师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18368026802</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"mailto:sdjwzfgszp@163.com" </w:instrText>
            </w:r>
            <w:r>
              <w:rPr>
                <w:rFonts w:hint="eastAsia" w:asciiTheme="minorEastAsia" w:hAnsiTheme="minorEastAsia" w:eastAsiaTheme="minorEastAsia" w:cstheme="minorEastAsia"/>
                <w:color w:val="auto"/>
              </w:rPr>
              <w:fldChar w:fldCharType="separate"/>
            </w:r>
            <w:r>
              <w:rPr>
                <w:rStyle w:val="5"/>
                <w:rFonts w:hint="eastAsia" w:asciiTheme="minorEastAsia" w:hAnsiTheme="minorEastAsia" w:eastAsiaTheme="minorEastAsia" w:cstheme="minorEastAsia"/>
                <w:color w:val="auto"/>
                <w:szCs w:val="21"/>
              </w:rPr>
              <w:t>sdjwzfgszp@163.com</w:t>
            </w:r>
            <w:r>
              <w:rPr>
                <w:rStyle w:val="5"/>
                <w:rFonts w:hint="eastAsia" w:asciiTheme="minorEastAsia" w:hAnsiTheme="minorEastAsia" w:eastAsiaTheme="minorEastAsia" w:cstheme="minorEastAsia"/>
                <w:color w:val="auto"/>
                <w:szCs w:val="21"/>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14</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中铁隧道局集团工程试验分公司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王老师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18937966362</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gcsyfgs@163.com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15</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中铁隧道局集团设备分公司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val="en-US" w:eastAsia="zh-CN"/>
              </w:rPr>
              <w:t>洛阳</w:t>
            </w:r>
            <w:r>
              <w:rPr>
                <w:rFonts w:hint="eastAsia" w:asciiTheme="minorEastAsia" w:hAnsiTheme="minorEastAsia" w:eastAsiaTheme="minorEastAsia" w:cstheme="minorEastAsia"/>
                <w:color w:val="000000"/>
                <w:kern w:val="0"/>
                <w:szCs w:val="21"/>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刘老师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18638882818</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497573658@qq.com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16</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中铁隧道局集团有限公司投资发展事业部</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王老师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13983829848</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351371531@qq.com</w:t>
            </w:r>
          </w:p>
        </w:tc>
      </w:tr>
    </w:tbl>
    <w:p>
      <w:pPr>
        <w:spacing w:line="480" w:lineRule="exact"/>
        <w:rPr>
          <w:rFonts w:hint="eastAsia" w:ascii="黑体" w:hAnsi="黑体" w:eastAsia="黑体" w:cs="黑体"/>
          <w:kern w:val="0"/>
          <w:sz w:val="32"/>
          <w:szCs w:val="32"/>
        </w:rPr>
      </w:pPr>
    </w:p>
    <w:p>
      <w:pPr>
        <w:numPr>
          <w:ilvl w:val="0"/>
          <w:numId w:val="1"/>
        </w:numPr>
        <w:spacing w:line="480"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招聘专业</w:t>
      </w:r>
    </w:p>
    <w:tbl>
      <w:tblPr>
        <w:tblStyle w:val="3"/>
        <w:tblW w:w="8960" w:type="dxa"/>
        <w:tblInd w:w="-317" w:type="dxa"/>
        <w:shd w:val="clear" w:color="auto" w:fill="auto"/>
        <w:tblLayout w:type="fixed"/>
        <w:tblCellMar>
          <w:top w:w="0" w:type="dxa"/>
          <w:left w:w="0" w:type="dxa"/>
          <w:bottom w:w="0" w:type="dxa"/>
          <w:right w:w="0" w:type="dxa"/>
        </w:tblCellMar>
      </w:tblPr>
      <w:tblGrid>
        <w:gridCol w:w="1567"/>
        <w:gridCol w:w="7393"/>
      </w:tblGrid>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专业类别</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专业需求</w:t>
            </w:r>
          </w:p>
        </w:tc>
      </w:tr>
      <w:tr>
        <w:tblPrEx>
          <w:shd w:val="clear" w:color="auto" w:fill="auto"/>
          <w:tblCellMar>
            <w:top w:w="0" w:type="dxa"/>
            <w:left w:w="0" w:type="dxa"/>
            <w:bottom w:w="0" w:type="dxa"/>
            <w:right w:w="0" w:type="dxa"/>
          </w:tblCellMar>
        </w:tblPrEx>
        <w:trPr>
          <w:trHeight w:val="11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土木类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土木工程、采矿工程、地质工程、工程力学、建筑工程（工民建）、建筑设备与环境工程、道路桥梁与渡河工程、城市轨道交通、城市地下空间工程、交通工程、水利水电工程、给排水科学与工程、装饰装修、测绘工程等大土木类相关专业</w:t>
            </w:r>
          </w:p>
        </w:tc>
      </w:tr>
      <w:tr>
        <w:tblPrEx>
          <w:shd w:val="clear" w:color="auto" w:fill="auto"/>
          <w:tblCellMar>
            <w:top w:w="0" w:type="dxa"/>
            <w:left w:w="0" w:type="dxa"/>
            <w:bottom w:w="0" w:type="dxa"/>
            <w:right w:w="0" w:type="dxa"/>
          </w:tblCellMar>
        </w:tblPrEx>
        <w:trPr>
          <w:trHeight w:val="8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机电类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机械工程、机械设计制造及其自动化、材料成型及控制工程、机械电子工程、盾构施工技术、流动体传动及控制、电气工程及其自动化、电气工程与智能控制、自动化、供用电技术等机电类相关专业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安全工程、环境科学、环境工程等相关专业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兵器类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弹药工程与爆炸技术</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工程管理类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工程管理、工程造价等相关专业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试验材料类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材料科学与工程、无机非金属材料工程、高分子材料与工程等相关专业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物资管理类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物资管理、物流工程等相关专业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经济会计类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投资学（投资管理）、审计学、工商管理、金融学、经济学、会计学、财务管理、税务管理、应用数学等经济财会类相关专业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计算机类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电子信息工程、计算机科学与技术、软件工程、数据科学与大数据技术等计算机类相关专业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文科类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汉语言文学、法学、人力资源管理、新闻学、马克思主义理论或政治学与行政学、行政管理及其他相关文科专业</w:t>
            </w:r>
          </w:p>
        </w:tc>
      </w:tr>
      <w:tr>
        <w:tblPrEx>
          <w:shd w:val="clear" w:color="auto" w:fill="auto"/>
          <w:tblCellMar>
            <w:top w:w="0" w:type="dxa"/>
            <w:left w:w="0" w:type="dxa"/>
            <w:bottom w:w="0" w:type="dxa"/>
            <w:right w:w="0" w:type="dxa"/>
          </w:tblCellMar>
        </w:tblPrEx>
        <w:trPr>
          <w:trHeight w:val="600" w:hRule="atLeast"/>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外国语言文学类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英语</w:t>
            </w:r>
          </w:p>
        </w:tc>
      </w:tr>
    </w:tbl>
    <w:p>
      <w:pPr>
        <w:numPr>
          <w:ilvl w:val="0"/>
          <w:numId w:val="0"/>
        </w:numPr>
        <w:spacing w:line="480" w:lineRule="exact"/>
        <w:rPr>
          <w:rFonts w:hint="eastAsia" w:ascii="黑体" w:hAnsi="黑体" w:eastAsia="黑体" w:cs="黑体"/>
          <w:kern w:val="0"/>
          <w:sz w:val="32"/>
          <w:szCs w:val="32"/>
        </w:rPr>
      </w:pPr>
    </w:p>
    <w:p>
      <w:pPr>
        <w:keepNext w:val="0"/>
        <w:keepLines w:val="0"/>
        <w:pageBreakBefore w:val="0"/>
        <w:kinsoku/>
        <w:wordWrap/>
        <w:overflowPunct/>
        <w:topLinePunct w:val="0"/>
        <w:autoSpaceDE/>
        <w:autoSpaceDN/>
        <w:bidi w:val="0"/>
        <w:adjustRightInd/>
        <w:snapToGrid/>
        <w:spacing w:line="460" w:lineRule="exact"/>
        <w:ind w:firstLine="627" w:firstLineChars="196"/>
        <w:textAlignment w:val="auto"/>
        <w:rPr>
          <w:rFonts w:ascii="黑体" w:hAnsi="黑体" w:eastAsia="黑体" w:cs="黑体"/>
          <w:kern w:val="0"/>
          <w:sz w:val="32"/>
          <w:szCs w:val="32"/>
        </w:rPr>
      </w:pPr>
      <w:r>
        <w:rPr>
          <w:rFonts w:hint="eastAsia" w:ascii="黑体" w:hAnsi="黑体" w:eastAsia="黑体" w:cs="黑体"/>
          <w:kern w:val="0"/>
          <w:sz w:val="32"/>
          <w:szCs w:val="32"/>
        </w:rPr>
        <w:t>四、薪酬福利待遇</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1.薪酬待遇。201</w:t>
      </w:r>
      <w:r>
        <w:rPr>
          <w:rFonts w:hint="eastAsia" w:ascii="仿宋_GB2312" w:hAnsi="微软雅黑" w:eastAsia="仿宋_GB2312"/>
          <w:color w:val="000000"/>
          <w:sz w:val="32"/>
          <w:szCs w:val="32"/>
          <w:lang w:val="en-US" w:eastAsia="zh-CN"/>
        </w:rPr>
        <w:t>9</w:t>
      </w:r>
      <w:r>
        <w:rPr>
          <w:rFonts w:hint="eastAsia" w:ascii="仿宋_GB2312" w:hAnsi="微软雅黑" w:eastAsia="仿宋_GB2312"/>
          <w:color w:val="000000"/>
          <w:sz w:val="32"/>
          <w:szCs w:val="32"/>
        </w:rPr>
        <w:t>年全集团在岗职工月平均工资1.1万元以上，见习生月平均工资6千元以上。</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2.假期待遇。职工享受的假期包括享受带薪年休假（</w:t>
      </w:r>
      <w:r>
        <w:rPr>
          <w:rFonts w:ascii="仿宋_GB2312" w:hAnsi="微软雅黑" w:eastAsia="仿宋_GB2312"/>
          <w:color w:val="000000"/>
          <w:sz w:val="32"/>
          <w:szCs w:val="32"/>
        </w:rPr>
        <w:t>分</w:t>
      </w:r>
      <w:r>
        <w:rPr>
          <w:rFonts w:hint="eastAsia" w:ascii="仿宋_GB2312" w:hAnsi="微软雅黑" w:eastAsia="仿宋_GB2312"/>
          <w:color w:val="000000"/>
          <w:sz w:val="32"/>
          <w:szCs w:val="32"/>
        </w:rPr>
        <w:t>为</w:t>
      </w:r>
      <w:r>
        <w:rPr>
          <w:rFonts w:ascii="仿宋_GB2312" w:hAnsi="微软雅黑" w:eastAsia="仿宋_GB2312"/>
          <w:color w:val="000000"/>
          <w:sz w:val="32"/>
          <w:szCs w:val="32"/>
        </w:rPr>
        <w:t>国内员工</w:t>
      </w:r>
      <w:r>
        <w:rPr>
          <w:rFonts w:hint="eastAsia" w:ascii="仿宋_GB2312" w:hAnsi="微软雅黑" w:eastAsia="仿宋_GB2312"/>
          <w:color w:val="000000"/>
          <w:sz w:val="32"/>
          <w:szCs w:val="32"/>
        </w:rPr>
        <w:t>年休假、境外</w:t>
      </w:r>
      <w:r>
        <w:rPr>
          <w:rFonts w:ascii="仿宋_GB2312" w:hAnsi="微软雅黑" w:eastAsia="仿宋_GB2312"/>
          <w:color w:val="000000"/>
          <w:sz w:val="32"/>
          <w:szCs w:val="32"/>
        </w:rPr>
        <w:t>员工</w:t>
      </w:r>
      <w:r>
        <w:rPr>
          <w:rFonts w:hint="eastAsia" w:ascii="仿宋_GB2312" w:hAnsi="微软雅黑" w:eastAsia="仿宋_GB2312"/>
          <w:color w:val="000000"/>
          <w:sz w:val="32"/>
          <w:szCs w:val="32"/>
        </w:rPr>
        <w:t>年休假）、调休假、搬家假、探亲假、通勤假、婚假、产假、护理假、公益假、哺乳假、计划生育假、工伤假、病伤假、丧假、事假及其他国家法定节假日休假权利。同时新入职见习生享受每季度7天的强制调休假。</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3.福利待遇。单位为职工足额缴纳“六险二金”，即：</w:t>
      </w:r>
      <w:r>
        <w:rPr>
          <w:rFonts w:ascii="仿宋_GB2312" w:hAnsi="微软雅黑" w:eastAsia="仿宋_GB2312"/>
          <w:color w:val="000000"/>
          <w:sz w:val="32"/>
          <w:szCs w:val="32"/>
        </w:rPr>
        <w:t>养老保险</w:t>
      </w:r>
      <w:r>
        <w:rPr>
          <w:rFonts w:hint="eastAsia" w:ascii="仿宋_GB2312" w:hAnsi="微软雅黑" w:eastAsia="仿宋_GB2312"/>
          <w:color w:val="000000"/>
          <w:sz w:val="32"/>
          <w:szCs w:val="32"/>
        </w:rPr>
        <w:t>、医疗保险、失业保险、工伤保险、生育保险、补充医疗保险、住房公积金和企业年金。</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4.持证津贴。对考取国家相关的执业资格证书和岗位证书给给予持证津贴和一次性奖励，其中一级注册建筑师、一级注册结构工程师、注册土木工程师（岩土）、注册电气工程师、注册公用设备工程师津贴10000元/月、一次性奖励30000元，注册造价工程师津贴2000元/月、一次奖励5000元，一级建造师津贴3000元/月、一次性奖励30000元，等其他企业所需的注册类执业资格证书均有相应持证奖励和津贴。</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5.其他福利待遇。毕业生安家费4000-10000元、享受餐补、交通补、住房补助、电脑补助、通讯补助及其他津补贴，可签转单位所在地广州、深圳、天津、重庆、杭州等地户口。</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五、员工培养和晋升</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1.员工职业生涯规划。实施员工职业生涯规划，畅通员工职业发展通道，狠抓“师带徒”培养模式，充分发挥多方的联动作用规范加速职业人才培养，构建员工职业转换、轮岗机制，帮助员工实现自我价值提升超越，同时集团内各单位已建立完备清晰的见习生培养规划体系。</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2.职务晋升。按照技术管理、行政管理、党群管理等不同管理方向晋升，土木、机械类专业本科、硕士研究生毕业3-5年可成为项目技术负责人。单位具备工程技术专家、工程经济专家、财务与会计专家、职业项目经理等培养能力。</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3.职称晋升。单位具有国家授权的工程系列、经济系列、会计系列等职称评审权。本科毕业生毕业5年可申报中级、毕业10年申报高级、毕业15年申报正高级职称，硕士研究生毕业2年申报中级、毕业6年申报高级、毕业11年申报正高级职称。</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六、招聘形式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1.公司及招聘团队在各大高校进行</w:t>
      </w:r>
      <w:r>
        <w:rPr>
          <w:rFonts w:hint="eastAsia" w:ascii="仿宋_GB2312" w:hAnsi="Times New Roman" w:eastAsia="仿宋_GB2312" w:cs="Times New Roman"/>
          <w:sz w:val="32"/>
          <w:szCs w:val="32"/>
          <w:lang w:val="en-US" w:eastAsia="zh-CN"/>
        </w:rPr>
        <w:t>校园</w:t>
      </w:r>
      <w:r>
        <w:rPr>
          <w:rFonts w:hint="eastAsia" w:ascii="仿宋_GB2312" w:hAnsi="Times New Roman" w:eastAsia="仿宋_GB2312" w:cs="Times New Roman"/>
          <w:sz w:val="32"/>
          <w:szCs w:val="32"/>
        </w:rPr>
        <w:t>招聘，宣讲会后安排面试，部分专业安排笔试，面试及笔试合格后签订就业协议。</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2.所在高校未安排宣讲会的毕业生，可就近在举行宣讲会的高校参加面试，部分专业安排笔试，面试及笔试合格后签订就业协议。</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3.所在城市未安排宣讲会的毕业生，可将相关资料以“学校-专业-姓名-学历”的格式命名发送至</w:t>
      </w:r>
      <w:r>
        <w:rPr>
          <w:rFonts w:hint="eastAsia" w:ascii="仿宋_GB2312" w:hAnsi="Times New Roman" w:eastAsia="仿宋_GB2312" w:cs="Times New Roman"/>
          <w:sz w:val="32"/>
          <w:szCs w:val="32"/>
          <w:lang w:val="en-US" w:eastAsia="zh-CN"/>
        </w:rPr>
        <w:t>各单位</w:t>
      </w:r>
      <w:r>
        <w:rPr>
          <w:rFonts w:hint="eastAsia" w:ascii="仿宋_GB2312" w:hAnsi="Times New Roman" w:eastAsia="仿宋_GB2312" w:cs="Times New Roman"/>
          <w:sz w:val="32"/>
          <w:szCs w:val="32"/>
        </w:rPr>
        <w:t>招聘邮箱。</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4.具体招聘行程请关注“中铁隧道局人力资源部”微信公众号。</w:t>
      </w:r>
    </w:p>
    <w:p>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黑体" w:hAnsi="黑体" w:eastAsia="黑体" w:cs="黑体"/>
          <w:color w:val="333333"/>
          <w:sz w:val="18"/>
          <w:szCs w:val="18"/>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、其他事项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1.应聘学生在招聘现场提供以下资料:个人简历、就业推荐表、就业协议书、学习成绩单原件、各类获奖证书复印件等。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2.应聘学生也可将个人简历、就业推荐表、就业协议书、学习成绩单及各类获奖证书扫描件等通过邮件发送到相应单位。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3.咨询电话</w:t>
      </w:r>
      <w:r>
        <w:rPr>
          <w:rFonts w:hint="eastAsia" w:ascii="仿宋_GB2312" w:hAnsi="Times New Roman" w:eastAsia="仿宋_GB2312" w:cs="Times New Roman"/>
          <w:sz w:val="32"/>
          <w:szCs w:val="32"/>
          <w:u w:val="none"/>
        </w:rPr>
        <w:t>:</w:t>
      </w:r>
      <w:r>
        <w:rPr>
          <w:rFonts w:hint="eastAsia" w:ascii="仿宋_GB2312" w:hAnsi="Times New Roman" w:eastAsia="仿宋_GB2312" w:cs="Times New Roman"/>
          <w:sz w:val="32"/>
          <w:szCs w:val="32"/>
          <w:u w:val="none"/>
          <w:lang w:val="en-US" w:eastAsia="zh-CN"/>
        </w:rPr>
        <w:t>13332870770</w:t>
      </w:r>
      <w:r>
        <w:rPr>
          <w:rFonts w:hint="eastAsia" w:ascii="仿宋_GB2312" w:hAnsi="Times New Roman" w:eastAsia="仿宋_GB2312" w:cs="Times New Roman"/>
          <w:sz w:val="32"/>
          <w:szCs w:val="32"/>
          <w:u w:val="none"/>
          <w:lang w:eastAsia="zh-CN"/>
        </w:rPr>
        <w:t>（</w:t>
      </w:r>
      <w:r>
        <w:rPr>
          <w:rFonts w:hint="eastAsia" w:ascii="仿宋_GB2312" w:hAnsi="Times New Roman" w:eastAsia="仿宋_GB2312" w:cs="Times New Roman"/>
          <w:sz w:val="32"/>
          <w:szCs w:val="32"/>
          <w:u w:val="none"/>
          <w:lang w:val="en-US" w:eastAsia="zh-CN"/>
        </w:rPr>
        <w:t>马老师</w:t>
      </w:r>
      <w:r>
        <w:rPr>
          <w:rFonts w:hint="eastAsia" w:ascii="仿宋_GB2312" w:hAnsi="Times New Roman" w:eastAsia="仿宋_GB2312" w:cs="Times New Roman"/>
          <w:sz w:val="32"/>
          <w:szCs w:val="32"/>
          <w:u w:val="none"/>
          <w:lang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jc w:val="both"/>
        <w:textAlignment w:val="auto"/>
        <w:rPr>
          <w:rFonts w:ascii="仿宋_GB2312" w:hAnsi="Times New Roman" w:eastAsia="仿宋_GB2312" w:cs="Times New Roman"/>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jc w:val="both"/>
        <w:textAlignment w:val="auto"/>
        <w:rPr>
          <w:rFonts w:ascii="仿宋_GB2312" w:hAnsi="Times New Roman" w:eastAsia="仿宋_GB2312" w:cs="Times New Roman"/>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jc w:val="both"/>
        <w:textAlignment w:val="auto"/>
        <w:rPr>
          <w:rFonts w:ascii="仿宋_GB2312" w:hAnsi="Times New Roman" w:eastAsia="仿宋_GB2312" w:cs="Times New Roman"/>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1680" w:firstLineChars="6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sz w:val="32"/>
          <w:szCs w:val="32"/>
        </w:rPr>
        <w:t>中铁隧道局集团有限公司</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960" w:firstLineChars="3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none"/>
          <w:lang w:val="en-US" w:eastAsia="zh-CN"/>
        </w:rPr>
        <w:t>8</w:t>
      </w:r>
      <w:r>
        <w:rPr>
          <w:rFonts w:hint="eastAsia" w:ascii="仿宋_GB2312" w:hAnsi="Times New Roman" w:eastAsia="仿宋_GB2312" w:cs="Times New Roman"/>
          <w:sz w:val="32"/>
          <w:szCs w:val="32"/>
        </w:rPr>
        <w:t>月</w:t>
      </w:r>
    </w:p>
    <w:p>
      <w:pPr>
        <w:keepNext w:val="0"/>
        <w:keepLines w:val="0"/>
        <w:pageBreakBefore w:val="0"/>
        <w:kinsoku/>
        <w:wordWrap/>
        <w:overflowPunct/>
        <w:topLinePunct w:val="0"/>
        <w:autoSpaceDE/>
        <w:autoSpaceDN/>
        <w:bidi w:val="0"/>
        <w:adjustRightInd/>
        <w:snapToGrid/>
        <w:spacing w:line="460" w:lineRule="exact"/>
        <w:textAlignment w:val="auto"/>
      </w:pPr>
    </w:p>
    <w:sectPr>
      <w:pgSz w:w="11906" w:h="16838"/>
      <w:pgMar w:top="1440" w:right="1800" w:bottom="1440" w:left="180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34687"/>
    <w:multiLevelType w:val="singleLevel"/>
    <w:tmpl w:val="709346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5C62"/>
    <w:rsid w:val="002D3E5D"/>
    <w:rsid w:val="00437656"/>
    <w:rsid w:val="005F6E06"/>
    <w:rsid w:val="006977EB"/>
    <w:rsid w:val="00775C62"/>
    <w:rsid w:val="00C113AA"/>
    <w:rsid w:val="00C442E4"/>
    <w:rsid w:val="00D76A00"/>
    <w:rsid w:val="00DB5BC4"/>
    <w:rsid w:val="00DC79C1"/>
    <w:rsid w:val="05435D8B"/>
    <w:rsid w:val="09E84B69"/>
    <w:rsid w:val="0C336A5E"/>
    <w:rsid w:val="0D5C5C86"/>
    <w:rsid w:val="0E051B67"/>
    <w:rsid w:val="0F123DA5"/>
    <w:rsid w:val="119138D9"/>
    <w:rsid w:val="124D5BEA"/>
    <w:rsid w:val="15C569D9"/>
    <w:rsid w:val="1B3572BA"/>
    <w:rsid w:val="1C0D54EA"/>
    <w:rsid w:val="1CCD03AC"/>
    <w:rsid w:val="1F073CBC"/>
    <w:rsid w:val="22D83570"/>
    <w:rsid w:val="268A115C"/>
    <w:rsid w:val="28E04C12"/>
    <w:rsid w:val="2B783A2E"/>
    <w:rsid w:val="2D1777EF"/>
    <w:rsid w:val="2E1864DC"/>
    <w:rsid w:val="2F200086"/>
    <w:rsid w:val="2F290EAC"/>
    <w:rsid w:val="349D217A"/>
    <w:rsid w:val="392F4534"/>
    <w:rsid w:val="39AB55BE"/>
    <w:rsid w:val="3A8A39BB"/>
    <w:rsid w:val="3B4B0CB9"/>
    <w:rsid w:val="3BCE17A3"/>
    <w:rsid w:val="3F9D7A29"/>
    <w:rsid w:val="45580FDE"/>
    <w:rsid w:val="46263A53"/>
    <w:rsid w:val="47925E0D"/>
    <w:rsid w:val="581A12C7"/>
    <w:rsid w:val="5BED0EF1"/>
    <w:rsid w:val="5C3C2646"/>
    <w:rsid w:val="63695D14"/>
    <w:rsid w:val="66BC086A"/>
    <w:rsid w:val="66F64697"/>
    <w:rsid w:val="68244DAE"/>
    <w:rsid w:val="6B9B2987"/>
    <w:rsid w:val="6C1D403A"/>
    <w:rsid w:val="6C8218C8"/>
    <w:rsid w:val="7CCF2046"/>
    <w:rsid w:val="7DA858DB"/>
    <w:rsid w:val="7DF9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Hyperlink"/>
    <w:qFormat/>
    <w:uiPriority w:val="0"/>
    <w:rPr>
      <w:color w:val="0656AA"/>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5</Pages>
  <Words>533</Words>
  <Characters>3039</Characters>
  <Lines>25</Lines>
  <Paragraphs>7</Paragraphs>
  <TotalTime>2</TotalTime>
  <ScaleCrop>false</ScaleCrop>
  <LinksUpToDate>false</LinksUpToDate>
  <CharactersWithSpaces>3565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2019-08-15T02:51:00Z</dcterms:created>
  <dc:creator>徐国朝</dc:creator>
  <cp:lastModifiedBy>Alexander</cp:lastModifiedBy>
  <dcterms:modified xsi:type="dcterms:W3CDTF">2020-08-21T08:30:28Z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