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28" w:rsidRDefault="00EE0CC2">
      <w:pPr>
        <w:jc w:val="center"/>
        <w:rPr>
          <w:rFonts w:ascii="宋体" w:hAnsi="宋体"/>
          <w:b/>
          <w:sz w:val="32"/>
          <w:szCs w:val="36"/>
        </w:rPr>
      </w:pPr>
      <w:r>
        <w:rPr>
          <w:rFonts w:ascii="宋体" w:hAnsi="宋体" w:hint="eastAsia"/>
          <w:b/>
          <w:sz w:val="32"/>
          <w:szCs w:val="36"/>
        </w:rPr>
        <w:t>北京建工土木工程有限公司2021校园招聘简章</w:t>
      </w:r>
    </w:p>
    <w:p w:rsidR="00464B28" w:rsidRDefault="00464B28">
      <w:pPr>
        <w:jc w:val="center"/>
        <w:rPr>
          <w:b/>
          <w:szCs w:val="32"/>
        </w:rPr>
      </w:pPr>
    </w:p>
    <w:p w:rsidR="00464B28" w:rsidRDefault="00EE0CC2">
      <w:pPr>
        <w:spacing w:line="360" w:lineRule="auto"/>
        <w:rPr>
          <w:b/>
          <w:szCs w:val="21"/>
        </w:rPr>
      </w:pPr>
      <w:r>
        <w:rPr>
          <w:rFonts w:hint="eastAsia"/>
          <w:b/>
          <w:szCs w:val="21"/>
        </w:rPr>
        <w:t>一、公司简介</w:t>
      </w:r>
    </w:p>
    <w:p w:rsidR="00464B28" w:rsidRDefault="00EE0CC2">
      <w:pPr>
        <w:autoSpaceDE w:val="0"/>
        <w:autoSpaceDN w:val="0"/>
        <w:adjustRightInd w:val="0"/>
        <w:spacing w:line="360" w:lineRule="auto"/>
        <w:ind w:firstLineChars="200" w:firstLine="420"/>
        <w:rPr>
          <w:rFonts w:ascii="宋体" w:hAnsi="宋体"/>
          <w:szCs w:val="21"/>
        </w:rPr>
      </w:pPr>
      <w:r>
        <w:rPr>
          <w:rFonts w:ascii="宋体" w:hAnsi="宋体" w:hint="eastAsia"/>
          <w:szCs w:val="21"/>
        </w:rPr>
        <w:t>北京建工土木工程有限公司（又为北京建工集团有限责任公司基础设施部），原名北京长城贝尔芬格伯格建筑工程有限公司，成立于1995年6月，前身为中国500强企业——北京建工集团有限责任公司与德国第二大建筑公司——德国贝尔芬格伯格公司组建的中德合资企业，2009年结束中德合资，逐渐发展成</w:t>
      </w:r>
      <w:bookmarkStart w:id="0" w:name="_GoBack"/>
      <w:bookmarkEnd w:id="0"/>
      <w:r>
        <w:rPr>
          <w:rFonts w:ascii="宋体" w:hAnsi="宋体" w:hint="eastAsia"/>
          <w:szCs w:val="21"/>
        </w:rPr>
        <w:t>为北京建工集团有限责任公司旗下以基础设施领域建设为主的全资子公司。</w:t>
      </w:r>
    </w:p>
    <w:p w:rsidR="00464B28" w:rsidRDefault="00EE0CC2">
      <w:pPr>
        <w:autoSpaceDE w:val="0"/>
        <w:autoSpaceDN w:val="0"/>
        <w:adjustRightInd w:val="0"/>
        <w:spacing w:line="360" w:lineRule="auto"/>
        <w:ind w:firstLine="420"/>
        <w:rPr>
          <w:rFonts w:ascii="宋体" w:hAnsi="宋体"/>
          <w:szCs w:val="21"/>
        </w:rPr>
      </w:pPr>
      <w:r>
        <w:rPr>
          <w:rFonts w:ascii="宋体" w:hAnsi="宋体" w:hint="eastAsia"/>
          <w:szCs w:val="21"/>
        </w:rPr>
        <w:t>公司注册资本</w:t>
      </w:r>
      <w:r w:rsidR="00E75FFD">
        <w:rPr>
          <w:rFonts w:ascii="宋体" w:hAnsi="宋体" w:hint="eastAsia"/>
          <w:szCs w:val="21"/>
        </w:rPr>
        <w:t>6</w:t>
      </w:r>
      <w:r>
        <w:rPr>
          <w:rFonts w:ascii="宋体" w:hAnsi="宋体" w:hint="eastAsia"/>
          <w:szCs w:val="21"/>
        </w:rPr>
        <w:t>.5亿元，是一家以轨道交通、</w:t>
      </w:r>
      <w:proofErr w:type="gramStart"/>
      <w:r>
        <w:rPr>
          <w:rFonts w:ascii="宋体" w:hAnsi="宋体" w:hint="eastAsia"/>
          <w:szCs w:val="21"/>
        </w:rPr>
        <w:t>特色房</w:t>
      </w:r>
      <w:proofErr w:type="gramEnd"/>
      <w:r>
        <w:rPr>
          <w:rFonts w:ascii="宋体" w:hAnsi="宋体" w:hint="eastAsia"/>
          <w:szCs w:val="21"/>
        </w:rPr>
        <w:t>建、市政基础设施三大领域为主的综合性建筑施工总承包企业，具有房屋建筑工程施工总承包一级、市政公用工程施工总承包一级、隧道工程专业承包二级和</w:t>
      </w:r>
      <w:r>
        <w:rPr>
          <w:rFonts w:hint="eastAsia"/>
          <w:szCs w:val="21"/>
        </w:rPr>
        <w:t>地基基础工程专业承包叁级</w:t>
      </w:r>
      <w:r>
        <w:rPr>
          <w:rFonts w:ascii="宋体" w:hAnsi="宋体" w:hint="eastAsia"/>
          <w:szCs w:val="21"/>
        </w:rPr>
        <w:t>多项专业工程资质。</w:t>
      </w:r>
      <w:r>
        <w:rPr>
          <w:rFonts w:hint="eastAsia"/>
          <w:szCs w:val="21"/>
        </w:rPr>
        <w:t>公司</w:t>
      </w:r>
      <w:r>
        <w:rPr>
          <w:rFonts w:ascii="宋体" w:hAnsi="宋体" w:hint="eastAsia"/>
          <w:szCs w:val="21"/>
        </w:rPr>
        <w:t>现有</w:t>
      </w:r>
      <w:r>
        <w:rPr>
          <w:rFonts w:ascii="宋体" w:hAnsi="宋体"/>
          <w:szCs w:val="21"/>
        </w:rPr>
        <w:t>员工</w:t>
      </w:r>
      <w:r>
        <w:rPr>
          <w:rFonts w:ascii="宋体" w:hAnsi="宋体" w:hint="eastAsia"/>
          <w:szCs w:val="21"/>
        </w:rPr>
        <w:t>1400余人</w:t>
      </w:r>
      <w:r>
        <w:rPr>
          <w:rFonts w:ascii="宋体" w:hAnsi="宋体"/>
          <w:szCs w:val="21"/>
        </w:rPr>
        <w:t>，</w:t>
      </w:r>
      <w:r>
        <w:rPr>
          <w:rFonts w:hint="eastAsia"/>
          <w:szCs w:val="21"/>
        </w:rPr>
        <w:t>年经营额突破</w:t>
      </w:r>
      <w:r>
        <w:rPr>
          <w:rFonts w:hint="eastAsia"/>
          <w:szCs w:val="21"/>
        </w:rPr>
        <w:t>100</w:t>
      </w:r>
      <w:r>
        <w:rPr>
          <w:rFonts w:hint="eastAsia"/>
          <w:szCs w:val="21"/>
        </w:rPr>
        <w:t>亿元，拥有</w:t>
      </w:r>
      <w:r>
        <w:rPr>
          <w:rFonts w:hint="eastAsia"/>
          <w:szCs w:val="21"/>
        </w:rPr>
        <w:t>6</w:t>
      </w:r>
      <w:r>
        <w:rPr>
          <w:rFonts w:hint="eastAsia"/>
          <w:szCs w:val="21"/>
        </w:rPr>
        <w:t>家分公司，</w:t>
      </w:r>
      <w:r>
        <w:rPr>
          <w:rFonts w:ascii="宋体" w:hAnsi="宋体" w:hint="eastAsia"/>
          <w:szCs w:val="21"/>
        </w:rPr>
        <w:t>经营范围遍布京津冀、环渤海、长三角、珠三角、大西南和华中地区等多个地域。</w:t>
      </w:r>
    </w:p>
    <w:p w:rsidR="00464B28" w:rsidRDefault="00EE0CC2">
      <w:pPr>
        <w:autoSpaceDE w:val="0"/>
        <w:autoSpaceDN w:val="0"/>
        <w:adjustRightInd w:val="0"/>
        <w:spacing w:line="360" w:lineRule="auto"/>
        <w:ind w:firstLine="420"/>
        <w:jc w:val="left"/>
        <w:rPr>
          <w:szCs w:val="21"/>
        </w:rPr>
      </w:pPr>
      <w:r>
        <w:rPr>
          <w:rFonts w:hint="eastAsia"/>
          <w:szCs w:val="21"/>
        </w:rPr>
        <w:t>作为国内建设领域的一支劲旅，公司在</w:t>
      </w:r>
      <w:r>
        <w:rPr>
          <w:rFonts w:hint="eastAsia"/>
          <w:b/>
          <w:szCs w:val="21"/>
        </w:rPr>
        <w:t>轨道交通领域</w:t>
      </w:r>
      <w:r>
        <w:rPr>
          <w:rFonts w:hint="eastAsia"/>
          <w:szCs w:val="21"/>
        </w:rPr>
        <w:t>承建了北京、广州、深圳、东莞、济南、苏州等地</w:t>
      </w:r>
      <w:r>
        <w:rPr>
          <w:rFonts w:hint="eastAsia"/>
          <w:szCs w:val="21"/>
        </w:rPr>
        <w:t>30</w:t>
      </w:r>
      <w:r>
        <w:rPr>
          <w:rFonts w:hint="eastAsia"/>
          <w:szCs w:val="21"/>
        </w:rPr>
        <w:t>余个地铁标段。在</w:t>
      </w:r>
      <w:r>
        <w:rPr>
          <w:rFonts w:hint="eastAsia"/>
          <w:b/>
          <w:szCs w:val="21"/>
        </w:rPr>
        <w:t>地下空间领域</w:t>
      </w:r>
      <w:r>
        <w:rPr>
          <w:rFonts w:hint="eastAsia"/>
          <w:szCs w:val="21"/>
        </w:rPr>
        <w:t>承建了北京五棵松地下车库、北京五棵松地下商业工程、北京通州运河核心区市政综合配套服务中心、苏州太湖新城地下空间等项目。在</w:t>
      </w:r>
      <w:r>
        <w:rPr>
          <w:rFonts w:hint="eastAsia"/>
          <w:b/>
          <w:szCs w:val="21"/>
        </w:rPr>
        <w:t>公路桥梁领域</w:t>
      </w:r>
      <w:r>
        <w:rPr>
          <w:rFonts w:hint="eastAsia"/>
          <w:szCs w:val="21"/>
        </w:rPr>
        <w:t>承建了北京通州东关大道、贵阳中环路南</w:t>
      </w:r>
      <w:proofErr w:type="gramStart"/>
      <w:r>
        <w:rPr>
          <w:rFonts w:hint="eastAsia"/>
          <w:szCs w:val="21"/>
        </w:rPr>
        <w:t>垭</w:t>
      </w:r>
      <w:proofErr w:type="gramEnd"/>
      <w:r>
        <w:rPr>
          <w:rFonts w:hint="eastAsia"/>
          <w:szCs w:val="21"/>
        </w:rPr>
        <w:t>路</w:t>
      </w:r>
      <w:r>
        <w:rPr>
          <w:rFonts w:hint="eastAsia"/>
          <w:szCs w:val="21"/>
        </w:rPr>
        <w:t>5</w:t>
      </w:r>
      <w:r>
        <w:rPr>
          <w:rFonts w:hint="eastAsia"/>
          <w:szCs w:val="21"/>
        </w:rPr>
        <w:t>标、昆明</w:t>
      </w:r>
      <w:proofErr w:type="gramStart"/>
      <w:r>
        <w:rPr>
          <w:rFonts w:hint="eastAsia"/>
          <w:szCs w:val="21"/>
        </w:rPr>
        <w:t>两区转龙市政</w:t>
      </w:r>
      <w:proofErr w:type="gramEnd"/>
      <w:r>
        <w:rPr>
          <w:rFonts w:hint="eastAsia"/>
          <w:szCs w:val="21"/>
        </w:rPr>
        <w:t>道路、福建</w:t>
      </w:r>
      <w:r>
        <w:rPr>
          <w:szCs w:val="21"/>
        </w:rPr>
        <w:t>福鼎市滨海大道二期道路</w:t>
      </w:r>
      <w:r>
        <w:rPr>
          <w:rFonts w:hint="eastAsia"/>
          <w:szCs w:val="21"/>
        </w:rPr>
        <w:t>等项目。在</w:t>
      </w:r>
      <w:r>
        <w:rPr>
          <w:rFonts w:hint="eastAsia"/>
          <w:b/>
          <w:szCs w:val="21"/>
        </w:rPr>
        <w:t>环境工程领域</w:t>
      </w:r>
      <w:r>
        <w:rPr>
          <w:rFonts w:hint="eastAsia"/>
          <w:szCs w:val="21"/>
        </w:rPr>
        <w:t>承建了北京高碑店污水处理厂、北京清河第二再生水厂、北京</w:t>
      </w:r>
      <w:r>
        <w:rPr>
          <w:szCs w:val="21"/>
        </w:rPr>
        <w:t>高安屯</w:t>
      </w:r>
      <w:r>
        <w:rPr>
          <w:rFonts w:hint="eastAsia"/>
          <w:szCs w:val="21"/>
        </w:rPr>
        <w:t>水厂</w:t>
      </w:r>
      <w:r>
        <w:rPr>
          <w:szCs w:val="21"/>
        </w:rPr>
        <w:t>、</w:t>
      </w:r>
      <w:r>
        <w:rPr>
          <w:rFonts w:hint="eastAsia"/>
          <w:szCs w:val="21"/>
        </w:rPr>
        <w:t>广州西江引水工程、贵阳</w:t>
      </w:r>
      <w:proofErr w:type="gramStart"/>
      <w:r>
        <w:rPr>
          <w:rFonts w:hint="eastAsia"/>
          <w:szCs w:val="21"/>
        </w:rPr>
        <w:t>高雁比例坝生活</w:t>
      </w:r>
      <w:proofErr w:type="gramEnd"/>
      <w:r>
        <w:rPr>
          <w:rFonts w:hint="eastAsia"/>
          <w:szCs w:val="21"/>
        </w:rPr>
        <w:t>垃圾填埋场技改升级项目等。在</w:t>
      </w:r>
      <w:r>
        <w:rPr>
          <w:rFonts w:hint="eastAsia"/>
          <w:b/>
          <w:szCs w:val="21"/>
        </w:rPr>
        <w:t>房建工程领域</w:t>
      </w:r>
      <w:r>
        <w:rPr>
          <w:rFonts w:hint="eastAsia"/>
          <w:szCs w:val="21"/>
        </w:rPr>
        <w:t>承建了北京雁栖湖国际会展中心、北京友谊医院、北京奥迪展厅、北京民生银行、昆明海口保障房天湖</w:t>
      </w:r>
      <w:proofErr w:type="gramStart"/>
      <w:r>
        <w:rPr>
          <w:rFonts w:hint="eastAsia"/>
          <w:szCs w:val="21"/>
        </w:rPr>
        <w:t>锦绣等</w:t>
      </w:r>
      <w:proofErr w:type="gramEnd"/>
      <w:r>
        <w:rPr>
          <w:rFonts w:hint="eastAsia"/>
          <w:szCs w:val="21"/>
        </w:rPr>
        <w:t>项目。在</w:t>
      </w:r>
      <w:r>
        <w:rPr>
          <w:rFonts w:hint="eastAsia"/>
          <w:b/>
          <w:szCs w:val="21"/>
        </w:rPr>
        <w:t>机库场道领域</w:t>
      </w:r>
      <w:r>
        <w:rPr>
          <w:rFonts w:hint="eastAsia"/>
          <w:szCs w:val="21"/>
        </w:rPr>
        <w:t>承建了四机位飞机维修机库、</w:t>
      </w:r>
      <w:r>
        <w:rPr>
          <w:rFonts w:hint="eastAsia"/>
          <w:szCs w:val="21"/>
        </w:rPr>
        <w:t>A380</w:t>
      </w:r>
      <w:r>
        <w:rPr>
          <w:rFonts w:hint="eastAsia"/>
          <w:szCs w:val="21"/>
        </w:rPr>
        <w:t>飞机维修库、深圳东海航空机库、昆明东方航空机库等项目。在</w:t>
      </w:r>
      <w:r>
        <w:rPr>
          <w:rFonts w:hint="eastAsia"/>
          <w:b/>
          <w:szCs w:val="21"/>
        </w:rPr>
        <w:t>盾构机领域</w:t>
      </w:r>
      <w:r>
        <w:rPr>
          <w:rFonts w:hint="eastAsia"/>
          <w:szCs w:val="21"/>
        </w:rPr>
        <w:t>，成立了国内首家跨行业多学科全链条的北京盾构再制造基地，可提供吊装、运输、维保、改造、再制造、调试等全过程全方位的“一站式服务”，具有国内一流的技术和施工能力。</w:t>
      </w:r>
    </w:p>
    <w:p w:rsidR="00464B28" w:rsidRDefault="00EE0CC2">
      <w:pPr>
        <w:autoSpaceDE w:val="0"/>
        <w:autoSpaceDN w:val="0"/>
        <w:adjustRightInd w:val="0"/>
        <w:spacing w:line="360" w:lineRule="auto"/>
        <w:ind w:firstLine="420"/>
        <w:jc w:val="left"/>
        <w:rPr>
          <w:szCs w:val="21"/>
        </w:rPr>
      </w:pPr>
      <w:r>
        <w:rPr>
          <w:rFonts w:hint="eastAsia"/>
          <w:szCs w:val="21"/>
        </w:rPr>
        <w:t>近年来</w:t>
      </w:r>
      <w:r>
        <w:rPr>
          <w:szCs w:val="21"/>
        </w:rPr>
        <w:t>，公司还</w:t>
      </w:r>
      <w:r>
        <w:rPr>
          <w:rFonts w:hint="eastAsia"/>
          <w:szCs w:val="21"/>
        </w:rPr>
        <w:t>积极探索</w:t>
      </w:r>
      <w:r>
        <w:rPr>
          <w:rFonts w:hint="eastAsia"/>
          <w:szCs w:val="21"/>
        </w:rPr>
        <w:t>PPP</w:t>
      </w:r>
      <w:r>
        <w:rPr>
          <w:rFonts w:hint="eastAsia"/>
          <w:szCs w:val="21"/>
        </w:rPr>
        <w:t>项目管理经营新模式，在地下综合管廊、海绵城市、水环境治理等新领域持续发力，承建了北京通州水环境治理</w:t>
      </w:r>
      <w:r>
        <w:rPr>
          <w:rFonts w:hint="eastAsia"/>
          <w:szCs w:val="21"/>
        </w:rPr>
        <w:t>PPP</w:t>
      </w:r>
      <w:r>
        <w:rPr>
          <w:rFonts w:hint="eastAsia"/>
          <w:szCs w:val="21"/>
        </w:rPr>
        <w:t>项目、北京通州文旅区地下综合管廊、北京</w:t>
      </w:r>
      <w:proofErr w:type="gramStart"/>
      <w:r>
        <w:rPr>
          <w:rFonts w:hint="eastAsia"/>
          <w:szCs w:val="21"/>
        </w:rPr>
        <w:t>朝阳顺白路</w:t>
      </w:r>
      <w:proofErr w:type="gramEnd"/>
      <w:r>
        <w:rPr>
          <w:rFonts w:hint="eastAsia"/>
          <w:szCs w:val="21"/>
        </w:rPr>
        <w:t>地下综合管廊等工程，力求打造出融建筑之美、空间之美、生活之美于一体的精品项目。</w:t>
      </w:r>
    </w:p>
    <w:p w:rsidR="00464B28" w:rsidRDefault="00EE0CC2">
      <w:pPr>
        <w:autoSpaceDE w:val="0"/>
        <w:autoSpaceDN w:val="0"/>
        <w:adjustRightInd w:val="0"/>
        <w:spacing w:line="360" w:lineRule="auto"/>
        <w:jc w:val="left"/>
        <w:rPr>
          <w:rFonts w:ascii="宋体" w:hAnsi="宋体"/>
          <w:b/>
          <w:szCs w:val="21"/>
        </w:rPr>
      </w:pPr>
      <w:r>
        <w:rPr>
          <w:rFonts w:ascii="宋体" w:hAnsi="宋体" w:hint="eastAsia"/>
          <w:b/>
          <w:szCs w:val="21"/>
        </w:rPr>
        <w:t>二、企业优势</w:t>
      </w:r>
    </w:p>
    <w:p w:rsidR="00464B28" w:rsidRDefault="00EE0CC2">
      <w:pPr>
        <w:spacing w:line="360" w:lineRule="auto"/>
        <w:rPr>
          <w:b/>
          <w:szCs w:val="21"/>
        </w:rPr>
      </w:pPr>
      <w:r>
        <w:rPr>
          <w:rFonts w:hint="eastAsia"/>
          <w:b/>
          <w:szCs w:val="21"/>
        </w:rPr>
        <w:t>1</w:t>
      </w:r>
      <w:r>
        <w:rPr>
          <w:rFonts w:hint="eastAsia"/>
          <w:b/>
          <w:szCs w:val="21"/>
        </w:rPr>
        <w:t>．极具行业竞争力的薪资</w:t>
      </w:r>
    </w:p>
    <w:p w:rsidR="00464B28" w:rsidRDefault="00EE0CC2">
      <w:pPr>
        <w:spacing w:line="360" w:lineRule="auto"/>
        <w:rPr>
          <w:bCs/>
          <w:szCs w:val="21"/>
        </w:rPr>
      </w:pPr>
      <w:r>
        <w:rPr>
          <w:rFonts w:hint="eastAsia"/>
          <w:bCs/>
          <w:szCs w:val="21"/>
        </w:rPr>
        <w:lastRenderedPageBreak/>
        <w:t>·基本工资</w:t>
      </w:r>
      <w:r>
        <w:rPr>
          <w:rFonts w:hint="eastAsia"/>
          <w:bCs/>
          <w:szCs w:val="21"/>
        </w:rPr>
        <w:t>+</w:t>
      </w:r>
      <w:r>
        <w:rPr>
          <w:rFonts w:hint="eastAsia"/>
          <w:bCs/>
          <w:szCs w:val="21"/>
        </w:rPr>
        <w:t>岗位工资</w:t>
      </w:r>
      <w:r>
        <w:rPr>
          <w:rFonts w:hint="eastAsia"/>
          <w:bCs/>
          <w:szCs w:val="21"/>
        </w:rPr>
        <w:t>+</w:t>
      </w:r>
      <w:r>
        <w:rPr>
          <w:rFonts w:hint="eastAsia"/>
          <w:bCs/>
          <w:szCs w:val="21"/>
        </w:rPr>
        <w:t>绩效奖金</w:t>
      </w:r>
      <w:r>
        <w:rPr>
          <w:rFonts w:hint="eastAsia"/>
          <w:bCs/>
          <w:szCs w:val="21"/>
        </w:rPr>
        <w:t>+</w:t>
      </w:r>
      <w:r>
        <w:rPr>
          <w:rFonts w:hint="eastAsia"/>
          <w:bCs/>
          <w:szCs w:val="21"/>
        </w:rPr>
        <w:t>其他津补贴</w:t>
      </w:r>
    </w:p>
    <w:p w:rsidR="00464B28" w:rsidRDefault="00EE0CC2">
      <w:pPr>
        <w:spacing w:line="360" w:lineRule="auto"/>
        <w:rPr>
          <w:b/>
          <w:szCs w:val="21"/>
        </w:rPr>
      </w:pPr>
      <w:r>
        <w:rPr>
          <w:rFonts w:hint="eastAsia"/>
          <w:b/>
          <w:szCs w:val="21"/>
        </w:rPr>
        <w:t>2</w:t>
      </w:r>
      <w:r>
        <w:rPr>
          <w:rFonts w:hint="eastAsia"/>
          <w:b/>
          <w:szCs w:val="21"/>
        </w:rPr>
        <w:t>．完善的福利保障机制</w:t>
      </w:r>
    </w:p>
    <w:p w:rsidR="00464B28" w:rsidRDefault="00EE0CC2">
      <w:pPr>
        <w:spacing w:line="360" w:lineRule="auto"/>
        <w:rPr>
          <w:bCs/>
          <w:szCs w:val="21"/>
        </w:rPr>
      </w:pPr>
      <w:r>
        <w:rPr>
          <w:rFonts w:hint="eastAsia"/>
          <w:bCs/>
          <w:szCs w:val="21"/>
        </w:rPr>
        <w:t>·足额缴纳</w:t>
      </w:r>
      <w:proofErr w:type="gramStart"/>
      <w:r>
        <w:rPr>
          <w:rFonts w:hint="eastAsia"/>
          <w:bCs/>
          <w:szCs w:val="21"/>
        </w:rPr>
        <w:t>六险二</w:t>
      </w:r>
      <w:proofErr w:type="gramEnd"/>
      <w:r>
        <w:rPr>
          <w:rFonts w:hint="eastAsia"/>
          <w:bCs/>
          <w:szCs w:val="21"/>
        </w:rPr>
        <w:t>金</w:t>
      </w:r>
    </w:p>
    <w:p w:rsidR="00464B28" w:rsidRDefault="00EE0CC2">
      <w:pPr>
        <w:spacing w:line="360" w:lineRule="auto"/>
        <w:rPr>
          <w:b/>
          <w:szCs w:val="21"/>
        </w:rPr>
      </w:pPr>
      <w:r>
        <w:rPr>
          <w:rFonts w:hint="eastAsia"/>
          <w:bCs/>
          <w:szCs w:val="21"/>
        </w:rPr>
        <w:t>·落户北京、广州、苏州的机会</w:t>
      </w:r>
    </w:p>
    <w:p w:rsidR="00464B28" w:rsidRDefault="00EE0CC2">
      <w:pPr>
        <w:spacing w:line="360" w:lineRule="auto"/>
        <w:rPr>
          <w:bCs/>
          <w:szCs w:val="21"/>
        </w:rPr>
      </w:pPr>
      <w:r>
        <w:rPr>
          <w:rFonts w:hint="eastAsia"/>
          <w:bCs/>
          <w:szCs w:val="21"/>
        </w:rPr>
        <w:t>·免费提供食宿、员工工装</w:t>
      </w:r>
    </w:p>
    <w:p w:rsidR="00464B28" w:rsidRDefault="00EE0CC2">
      <w:pPr>
        <w:spacing w:line="360" w:lineRule="auto"/>
        <w:rPr>
          <w:bCs/>
          <w:szCs w:val="21"/>
        </w:rPr>
      </w:pPr>
      <w:r>
        <w:rPr>
          <w:rFonts w:hint="eastAsia"/>
          <w:bCs/>
          <w:szCs w:val="21"/>
        </w:rPr>
        <w:t>·带薪休假、定期体检、婚育津贴等</w:t>
      </w:r>
    </w:p>
    <w:p w:rsidR="00464B28" w:rsidRDefault="00EE0CC2">
      <w:pPr>
        <w:spacing w:line="360" w:lineRule="auto"/>
        <w:rPr>
          <w:b/>
          <w:bCs/>
          <w:szCs w:val="21"/>
        </w:rPr>
      </w:pPr>
      <w:r>
        <w:rPr>
          <w:b/>
          <w:bCs/>
          <w:szCs w:val="21"/>
        </w:rPr>
        <w:t>3</w:t>
      </w:r>
      <w:r>
        <w:rPr>
          <w:rFonts w:hint="eastAsia"/>
          <w:b/>
          <w:bCs/>
          <w:szCs w:val="21"/>
        </w:rPr>
        <w:t>．全方位的人才培养体系</w:t>
      </w:r>
    </w:p>
    <w:p w:rsidR="00464B28" w:rsidRDefault="00EE0CC2">
      <w:pPr>
        <w:spacing w:line="360" w:lineRule="auto"/>
        <w:rPr>
          <w:bCs/>
          <w:szCs w:val="21"/>
        </w:rPr>
      </w:pPr>
      <w:r>
        <w:rPr>
          <w:rFonts w:hint="eastAsia"/>
          <w:bCs/>
          <w:szCs w:val="21"/>
        </w:rPr>
        <w:t>·引导式入职培训：系统传授行业全流程知识、“一人一册”制定人才培养计划</w:t>
      </w:r>
    </w:p>
    <w:p w:rsidR="00464B28" w:rsidRDefault="00EE0CC2">
      <w:pPr>
        <w:spacing w:line="360" w:lineRule="auto"/>
        <w:rPr>
          <w:bCs/>
          <w:szCs w:val="21"/>
        </w:rPr>
      </w:pPr>
      <w:r>
        <w:rPr>
          <w:rFonts w:hint="eastAsia"/>
          <w:bCs/>
          <w:szCs w:val="21"/>
        </w:rPr>
        <w:t>·导师制见习培养：导师带徒“一对一”传帮带</w:t>
      </w:r>
    </w:p>
    <w:p w:rsidR="00464B28" w:rsidRDefault="00EE0CC2">
      <w:pPr>
        <w:spacing w:line="360" w:lineRule="auto"/>
        <w:rPr>
          <w:bCs/>
          <w:szCs w:val="21"/>
        </w:rPr>
      </w:pPr>
      <w:r>
        <w:rPr>
          <w:rFonts w:hint="eastAsia"/>
          <w:bCs/>
          <w:szCs w:val="21"/>
        </w:rPr>
        <w:t>·针对性岗位培训：企业大学覆盖全员的岗位技能培训、后备干部人才培训</w:t>
      </w:r>
    </w:p>
    <w:p w:rsidR="00464B28" w:rsidRDefault="00EE0CC2">
      <w:pPr>
        <w:spacing w:line="360" w:lineRule="auto"/>
        <w:rPr>
          <w:bCs/>
          <w:szCs w:val="21"/>
        </w:rPr>
      </w:pPr>
      <w:r>
        <w:rPr>
          <w:rFonts w:hint="eastAsia"/>
          <w:bCs/>
          <w:szCs w:val="21"/>
        </w:rPr>
        <w:t>·体验式轮岗培训：定期挂职轮岗锻炼，提供快速成长平台</w:t>
      </w:r>
    </w:p>
    <w:p w:rsidR="00464B28" w:rsidRDefault="00EE0CC2">
      <w:pPr>
        <w:spacing w:line="360" w:lineRule="auto"/>
        <w:rPr>
          <w:bCs/>
          <w:szCs w:val="21"/>
        </w:rPr>
      </w:pPr>
      <w:r>
        <w:rPr>
          <w:rFonts w:hint="eastAsia"/>
          <w:bCs/>
          <w:szCs w:val="21"/>
        </w:rPr>
        <w:t>·</w:t>
      </w:r>
      <w:proofErr w:type="gramStart"/>
      <w:r>
        <w:rPr>
          <w:rFonts w:hint="eastAsia"/>
          <w:bCs/>
          <w:szCs w:val="21"/>
        </w:rPr>
        <w:t>福利式进阶</w:t>
      </w:r>
      <w:proofErr w:type="gramEnd"/>
      <w:r>
        <w:rPr>
          <w:rFonts w:hint="eastAsia"/>
          <w:bCs/>
          <w:szCs w:val="21"/>
        </w:rPr>
        <w:t>培训：免费提供知识更新培训、职称考试培训；校企合作在职硕士学位深造</w:t>
      </w:r>
    </w:p>
    <w:p w:rsidR="00464B28" w:rsidRDefault="00EE0CC2">
      <w:pPr>
        <w:spacing w:line="360" w:lineRule="auto"/>
        <w:rPr>
          <w:bCs/>
          <w:szCs w:val="21"/>
        </w:rPr>
      </w:pPr>
      <w:r>
        <w:rPr>
          <w:rFonts w:hint="eastAsia"/>
          <w:bCs/>
          <w:szCs w:val="21"/>
        </w:rPr>
        <w:t>·“</w:t>
      </w:r>
      <w:r>
        <w:rPr>
          <w:rFonts w:hint="eastAsia"/>
          <w:bCs/>
          <w:szCs w:val="21"/>
        </w:rPr>
        <w:t>8090</w:t>
      </w:r>
      <w:r>
        <w:rPr>
          <w:rFonts w:hint="eastAsia"/>
          <w:bCs/>
          <w:szCs w:val="21"/>
        </w:rPr>
        <w:t>人才”工程：《</w:t>
      </w:r>
      <w:r>
        <w:rPr>
          <w:rFonts w:hint="eastAsia"/>
          <w:bCs/>
          <w:szCs w:val="21"/>
        </w:rPr>
        <w:t xml:space="preserve"> </w:t>
      </w:r>
      <w:r>
        <w:rPr>
          <w:rFonts w:hint="eastAsia"/>
          <w:bCs/>
          <w:szCs w:val="21"/>
        </w:rPr>
        <w:t>“十三五”人才规划》明确提拔一批“</w:t>
      </w:r>
      <w:r>
        <w:rPr>
          <w:bCs/>
          <w:szCs w:val="21"/>
        </w:rPr>
        <w:t>80</w:t>
      </w:r>
      <w:r>
        <w:rPr>
          <w:rFonts w:hint="eastAsia"/>
          <w:bCs/>
          <w:szCs w:val="21"/>
        </w:rPr>
        <w:t>后”公司高层领导人员、</w:t>
      </w:r>
    </w:p>
    <w:p w:rsidR="00464B28" w:rsidRDefault="00EE0CC2">
      <w:pPr>
        <w:spacing w:line="360" w:lineRule="auto"/>
        <w:ind w:firstLineChars="1000" w:firstLine="2100"/>
        <w:rPr>
          <w:bCs/>
          <w:szCs w:val="21"/>
        </w:rPr>
      </w:pPr>
      <w:r>
        <w:rPr>
          <w:rFonts w:hint="eastAsia"/>
          <w:bCs/>
          <w:szCs w:val="21"/>
        </w:rPr>
        <w:t>一批“</w:t>
      </w:r>
      <w:r>
        <w:rPr>
          <w:bCs/>
          <w:szCs w:val="21"/>
        </w:rPr>
        <w:t>90</w:t>
      </w:r>
      <w:r>
        <w:rPr>
          <w:rFonts w:hint="eastAsia"/>
          <w:bCs/>
          <w:szCs w:val="21"/>
        </w:rPr>
        <w:t>”</w:t>
      </w:r>
      <w:r>
        <w:rPr>
          <w:bCs/>
          <w:szCs w:val="21"/>
        </w:rPr>
        <w:t>中层领导人员</w:t>
      </w:r>
    </w:p>
    <w:p w:rsidR="00464B28" w:rsidRDefault="00EE0CC2">
      <w:pPr>
        <w:spacing w:line="360" w:lineRule="auto"/>
        <w:rPr>
          <w:bCs/>
          <w:szCs w:val="21"/>
        </w:rPr>
      </w:pPr>
      <w:r>
        <w:rPr>
          <w:rFonts w:hint="eastAsia"/>
          <w:bCs/>
          <w:szCs w:val="21"/>
        </w:rPr>
        <w:t>·多通道职业规划：涵盖领导干部、管理人才与技术人才等全方位的人才成长通道；</w:t>
      </w:r>
    </w:p>
    <w:p w:rsidR="00464B28" w:rsidRDefault="00EE0CC2">
      <w:pPr>
        <w:spacing w:line="360" w:lineRule="auto"/>
        <w:rPr>
          <w:bCs/>
          <w:szCs w:val="21"/>
        </w:rPr>
      </w:pPr>
      <w:r>
        <w:rPr>
          <w:rFonts w:hint="eastAsia"/>
          <w:bCs/>
          <w:szCs w:val="21"/>
        </w:rPr>
        <w:t>·人性化调配机制：兼顾员工的人性化工作调配机制，实现共同发展</w:t>
      </w:r>
    </w:p>
    <w:p w:rsidR="00464B28" w:rsidRDefault="00EE0CC2">
      <w:pPr>
        <w:spacing w:line="360" w:lineRule="auto"/>
        <w:rPr>
          <w:bCs/>
          <w:szCs w:val="21"/>
        </w:rPr>
      </w:pPr>
      <w:r>
        <w:rPr>
          <w:rFonts w:hint="eastAsia"/>
          <w:bCs/>
          <w:szCs w:val="21"/>
        </w:rPr>
        <w:t>·开放式竞聘选拔：以能力业绩为导向，定期全员竞聘核心人才；</w:t>
      </w:r>
    </w:p>
    <w:p w:rsidR="00464B28" w:rsidRDefault="00EE0CC2">
      <w:pPr>
        <w:spacing w:line="360" w:lineRule="auto"/>
        <w:rPr>
          <w:b/>
          <w:bCs/>
          <w:szCs w:val="21"/>
        </w:rPr>
      </w:pPr>
      <w:r>
        <w:rPr>
          <w:b/>
          <w:bCs/>
          <w:szCs w:val="21"/>
        </w:rPr>
        <w:t>4</w:t>
      </w:r>
      <w:r>
        <w:rPr>
          <w:rFonts w:hint="eastAsia"/>
          <w:b/>
          <w:bCs/>
          <w:szCs w:val="21"/>
        </w:rPr>
        <w:t>．以人为本的企业文化</w:t>
      </w:r>
    </w:p>
    <w:p w:rsidR="00464B28" w:rsidRDefault="00EE0CC2">
      <w:pPr>
        <w:spacing w:line="360" w:lineRule="auto"/>
        <w:ind w:left="210" w:hangingChars="100" w:hanging="210"/>
        <w:rPr>
          <w:bCs/>
          <w:szCs w:val="21"/>
        </w:rPr>
      </w:pPr>
      <w:r>
        <w:rPr>
          <w:rFonts w:hint="eastAsia"/>
          <w:bCs/>
          <w:szCs w:val="21"/>
        </w:rPr>
        <w:t>·年轻活力的事业团队：员工平均年龄</w:t>
      </w:r>
      <w:r>
        <w:rPr>
          <w:rFonts w:hint="eastAsia"/>
          <w:bCs/>
          <w:szCs w:val="21"/>
        </w:rPr>
        <w:t>36</w:t>
      </w:r>
      <w:r>
        <w:rPr>
          <w:rFonts w:hint="eastAsia"/>
          <w:bCs/>
          <w:szCs w:val="21"/>
        </w:rPr>
        <w:t>岁，</w:t>
      </w:r>
      <w:r>
        <w:rPr>
          <w:rFonts w:hint="eastAsia"/>
          <w:bCs/>
          <w:szCs w:val="21"/>
        </w:rPr>
        <w:t>45</w:t>
      </w:r>
      <w:r>
        <w:rPr>
          <w:rFonts w:hint="eastAsia"/>
          <w:bCs/>
          <w:szCs w:val="21"/>
        </w:rPr>
        <w:t>岁以下占比</w:t>
      </w:r>
      <w:r>
        <w:rPr>
          <w:rFonts w:hint="eastAsia"/>
          <w:bCs/>
          <w:szCs w:val="21"/>
        </w:rPr>
        <w:t>86%</w:t>
      </w:r>
      <w:r>
        <w:rPr>
          <w:rFonts w:hint="eastAsia"/>
          <w:bCs/>
          <w:szCs w:val="21"/>
        </w:rPr>
        <w:t>；管理人员中本科及以上学历占比</w:t>
      </w:r>
      <w:r>
        <w:rPr>
          <w:rFonts w:hint="eastAsia"/>
          <w:bCs/>
          <w:szCs w:val="21"/>
        </w:rPr>
        <w:t>80%</w:t>
      </w:r>
      <w:r>
        <w:rPr>
          <w:rFonts w:hint="eastAsia"/>
          <w:bCs/>
          <w:szCs w:val="21"/>
        </w:rPr>
        <w:t>以上</w:t>
      </w:r>
    </w:p>
    <w:p w:rsidR="00464B28" w:rsidRDefault="00EE0CC2">
      <w:pPr>
        <w:spacing w:line="360" w:lineRule="auto"/>
        <w:ind w:left="210" w:hangingChars="100" w:hanging="210"/>
        <w:rPr>
          <w:bCs/>
          <w:szCs w:val="21"/>
        </w:rPr>
      </w:pPr>
      <w:r>
        <w:rPr>
          <w:rFonts w:hint="eastAsia"/>
          <w:bCs/>
          <w:szCs w:val="21"/>
        </w:rPr>
        <w:t>·温馨和谐的企业氛围：文体室、健身房、咖啡区、母婴室、探亲房等办公配套设施齐全；篮球、足球、游泳、瑜伽等各类文体运动丰富；踏青、观影、联谊、文艺汇演等业余生活充实</w:t>
      </w:r>
    </w:p>
    <w:p w:rsidR="00464B28" w:rsidRDefault="00EE0CC2">
      <w:pPr>
        <w:spacing w:line="360" w:lineRule="auto"/>
        <w:ind w:left="210" w:hangingChars="100" w:hanging="210"/>
        <w:rPr>
          <w:bCs/>
          <w:szCs w:val="21"/>
        </w:rPr>
      </w:pPr>
      <w:r>
        <w:rPr>
          <w:rFonts w:hint="eastAsia"/>
          <w:bCs/>
          <w:szCs w:val="21"/>
        </w:rPr>
        <w:t>·不忘初心的国企担当：走访慰问助力精准扶贫、开展助学圆满学子、救灾捐赠送去温暖、志愿服务热心公益</w:t>
      </w:r>
    </w:p>
    <w:p w:rsidR="00464B28" w:rsidRDefault="00EE0CC2">
      <w:pPr>
        <w:spacing w:line="360" w:lineRule="auto"/>
        <w:rPr>
          <w:b/>
          <w:szCs w:val="21"/>
        </w:rPr>
      </w:pPr>
      <w:r>
        <w:rPr>
          <w:rFonts w:hint="eastAsia"/>
          <w:b/>
          <w:szCs w:val="21"/>
        </w:rPr>
        <w:t>三、岗位需求</w:t>
      </w:r>
    </w:p>
    <w:p w:rsidR="00464B28" w:rsidRDefault="00EE0CC2">
      <w:pPr>
        <w:spacing w:line="360" w:lineRule="auto"/>
        <w:rPr>
          <w:szCs w:val="21"/>
        </w:rPr>
      </w:pPr>
      <w:r>
        <w:rPr>
          <w:rFonts w:hint="eastAsia"/>
          <w:szCs w:val="21"/>
        </w:rPr>
        <w:t>1</w:t>
      </w:r>
      <w:r>
        <w:rPr>
          <w:rFonts w:hint="eastAsia"/>
          <w:szCs w:val="21"/>
        </w:rPr>
        <w:t>、招聘</w:t>
      </w:r>
      <w:r>
        <w:rPr>
          <w:szCs w:val="21"/>
        </w:rPr>
        <w:t>对象：</w:t>
      </w:r>
    </w:p>
    <w:p w:rsidR="00464B28" w:rsidRDefault="00EE0CC2">
      <w:pPr>
        <w:spacing w:line="360" w:lineRule="auto"/>
        <w:rPr>
          <w:szCs w:val="21"/>
        </w:rPr>
      </w:pPr>
      <w:r>
        <w:rPr>
          <w:szCs w:val="21"/>
        </w:rPr>
        <w:tab/>
        <w:t>20</w:t>
      </w:r>
      <w:r>
        <w:rPr>
          <w:rFonts w:hint="eastAsia"/>
          <w:szCs w:val="21"/>
        </w:rPr>
        <w:t>21</w:t>
      </w:r>
      <w:r>
        <w:rPr>
          <w:rFonts w:hint="eastAsia"/>
          <w:szCs w:val="21"/>
        </w:rPr>
        <w:t>届全日制应届</w:t>
      </w:r>
      <w:r>
        <w:rPr>
          <w:szCs w:val="21"/>
        </w:rPr>
        <w:t>毕业生（本科生、</w:t>
      </w:r>
      <w:r>
        <w:rPr>
          <w:rFonts w:hint="eastAsia"/>
          <w:szCs w:val="21"/>
        </w:rPr>
        <w:t>硕士</w:t>
      </w:r>
      <w:r>
        <w:rPr>
          <w:szCs w:val="21"/>
        </w:rPr>
        <w:t>研究生</w:t>
      </w:r>
      <w:r>
        <w:rPr>
          <w:rFonts w:hint="eastAsia"/>
          <w:szCs w:val="21"/>
        </w:rPr>
        <w:t>）。</w:t>
      </w:r>
    </w:p>
    <w:p w:rsidR="00464B28" w:rsidRDefault="00EE0CC2">
      <w:pPr>
        <w:spacing w:line="360" w:lineRule="auto"/>
        <w:rPr>
          <w:szCs w:val="21"/>
        </w:rPr>
      </w:pPr>
      <w:r>
        <w:rPr>
          <w:rFonts w:hint="eastAsia"/>
          <w:szCs w:val="21"/>
        </w:rPr>
        <w:t>2</w:t>
      </w:r>
      <w:r>
        <w:rPr>
          <w:rFonts w:hint="eastAsia"/>
          <w:szCs w:val="21"/>
        </w:rPr>
        <w:t>、专业</w:t>
      </w:r>
      <w:r>
        <w:rPr>
          <w:szCs w:val="21"/>
        </w:rPr>
        <w:t>要求</w:t>
      </w:r>
      <w:r>
        <w:rPr>
          <w:rFonts w:hint="eastAsia"/>
          <w:szCs w:val="21"/>
        </w:rPr>
        <w:t>：</w:t>
      </w:r>
    </w:p>
    <w:tbl>
      <w:tblPr>
        <w:tblpPr w:leftFromText="180" w:rightFromText="180" w:vertAnchor="text" w:horzAnchor="page" w:tblpXSpec="center" w:tblpY="346"/>
        <w:tblOverlap w:val="never"/>
        <w:tblW w:w="8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625"/>
        <w:gridCol w:w="3348"/>
      </w:tblGrid>
      <w:tr w:rsidR="00464B28">
        <w:trPr>
          <w:trHeight w:val="540"/>
        </w:trPr>
        <w:tc>
          <w:tcPr>
            <w:tcW w:w="1416" w:type="dxa"/>
            <w:vAlign w:val="center"/>
          </w:tcPr>
          <w:p w:rsidR="00464B28" w:rsidRDefault="00EE0CC2">
            <w:pPr>
              <w:spacing w:line="360" w:lineRule="auto"/>
              <w:jc w:val="center"/>
              <w:rPr>
                <w:rFonts w:ascii="宋体" w:hAnsi="宋体" w:cs="宋体"/>
                <w:b/>
                <w:color w:val="000000"/>
                <w:kern w:val="0"/>
                <w:szCs w:val="21"/>
              </w:rPr>
            </w:pPr>
            <w:r>
              <w:rPr>
                <w:rFonts w:ascii="宋体" w:hAnsi="宋体" w:cs="宋体" w:hint="eastAsia"/>
                <w:b/>
                <w:color w:val="000000"/>
                <w:kern w:val="0"/>
                <w:szCs w:val="21"/>
              </w:rPr>
              <w:t xml:space="preserve"> 类别</w:t>
            </w:r>
          </w:p>
        </w:tc>
        <w:tc>
          <w:tcPr>
            <w:tcW w:w="3625" w:type="dxa"/>
            <w:vAlign w:val="center"/>
          </w:tcPr>
          <w:p w:rsidR="00464B28" w:rsidRDefault="00EE0CC2">
            <w:pPr>
              <w:spacing w:line="360" w:lineRule="auto"/>
              <w:jc w:val="center"/>
              <w:rPr>
                <w:rFonts w:ascii="宋体" w:hAnsi="宋体" w:cs="宋体"/>
                <w:b/>
                <w:bCs/>
                <w:color w:val="000000"/>
                <w:kern w:val="0"/>
                <w:szCs w:val="21"/>
              </w:rPr>
            </w:pPr>
            <w:r>
              <w:rPr>
                <w:rFonts w:ascii="宋体" w:hAnsi="宋体" w:cs="宋体" w:hint="eastAsia"/>
                <w:b/>
                <w:color w:val="000000"/>
                <w:kern w:val="0"/>
                <w:szCs w:val="21"/>
              </w:rPr>
              <w:t>工程技术类</w:t>
            </w:r>
          </w:p>
        </w:tc>
        <w:tc>
          <w:tcPr>
            <w:tcW w:w="3348" w:type="dxa"/>
            <w:vAlign w:val="center"/>
          </w:tcPr>
          <w:p w:rsidR="00464B28" w:rsidRDefault="00EE0CC2">
            <w:pPr>
              <w:spacing w:line="360" w:lineRule="auto"/>
              <w:jc w:val="center"/>
              <w:rPr>
                <w:rFonts w:ascii="宋体" w:hAnsi="宋体" w:cs="宋体"/>
                <w:b/>
                <w:bCs/>
                <w:color w:val="000000"/>
                <w:kern w:val="0"/>
                <w:szCs w:val="21"/>
              </w:rPr>
            </w:pPr>
            <w:r>
              <w:rPr>
                <w:rFonts w:ascii="宋体" w:hAnsi="宋体" w:cs="宋体" w:hint="eastAsia"/>
                <w:b/>
                <w:color w:val="000000"/>
                <w:kern w:val="0"/>
                <w:szCs w:val="21"/>
              </w:rPr>
              <w:t>职能管理类</w:t>
            </w:r>
          </w:p>
        </w:tc>
      </w:tr>
      <w:tr w:rsidR="00464B28">
        <w:trPr>
          <w:trHeight w:val="1021"/>
        </w:trPr>
        <w:tc>
          <w:tcPr>
            <w:tcW w:w="1416" w:type="dxa"/>
            <w:vAlign w:val="center"/>
          </w:tcPr>
          <w:p w:rsidR="00464B28" w:rsidRDefault="00EE0CC2">
            <w:pPr>
              <w:spacing w:line="360" w:lineRule="auto"/>
              <w:jc w:val="center"/>
              <w:rPr>
                <w:rFonts w:ascii="宋体" w:hAnsi="宋体" w:cs="宋体"/>
                <w:bCs/>
                <w:color w:val="000000"/>
                <w:kern w:val="0"/>
                <w:szCs w:val="21"/>
              </w:rPr>
            </w:pPr>
            <w:r>
              <w:rPr>
                <w:rFonts w:ascii="宋体" w:hAnsi="宋体" w:cs="宋体" w:hint="eastAsia"/>
                <w:color w:val="000000"/>
                <w:kern w:val="0"/>
                <w:szCs w:val="21"/>
              </w:rPr>
              <w:lastRenderedPageBreak/>
              <w:t>专业要求</w:t>
            </w:r>
          </w:p>
        </w:tc>
        <w:tc>
          <w:tcPr>
            <w:tcW w:w="3625" w:type="dxa"/>
            <w:vAlign w:val="center"/>
          </w:tcPr>
          <w:p w:rsidR="00464B28" w:rsidRDefault="00EE0CC2">
            <w:pPr>
              <w:widowControl/>
              <w:spacing w:line="360" w:lineRule="auto"/>
              <w:jc w:val="center"/>
              <w:rPr>
                <w:rFonts w:ascii="宋体" w:hAnsi="宋体" w:cs="宋体"/>
                <w:bCs/>
                <w:color w:val="000000"/>
                <w:kern w:val="0"/>
                <w:szCs w:val="21"/>
              </w:rPr>
            </w:pPr>
            <w:r>
              <w:rPr>
                <w:rFonts w:ascii="宋体" w:hAnsi="宋体" w:cs="宋体" w:hint="eastAsia"/>
                <w:bCs/>
                <w:color w:val="000000"/>
                <w:kern w:val="0"/>
                <w:szCs w:val="21"/>
              </w:rPr>
              <w:t>土木工程、工程管理、安全工程、电气、机械、暖通、给水排水工程等</w:t>
            </w:r>
          </w:p>
        </w:tc>
        <w:tc>
          <w:tcPr>
            <w:tcW w:w="3348" w:type="dxa"/>
            <w:vAlign w:val="center"/>
          </w:tcPr>
          <w:p w:rsidR="00464B28" w:rsidRDefault="00EE0CC2">
            <w:pPr>
              <w:widowControl/>
              <w:spacing w:line="360" w:lineRule="auto"/>
              <w:jc w:val="center"/>
              <w:rPr>
                <w:rFonts w:ascii="宋体" w:hAnsi="宋体" w:cs="宋体"/>
                <w:bCs/>
                <w:color w:val="000000"/>
                <w:kern w:val="0"/>
                <w:szCs w:val="21"/>
              </w:rPr>
            </w:pPr>
            <w:r>
              <w:rPr>
                <w:rFonts w:ascii="宋体" w:hAnsi="宋体" w:cs="宋体" w:hint="eastAsia"/>
                <w:bCs/>
                <w:color w:val="000000"/>
                <w:kern w:val="0"/>
                <w:szCs w:val="21"/>
              </w:rPr>
              <w:t>财经类、管理类、法学类、汉语言文学类、新闻类、思想政治教育类相关专业</w:t>
            </w:r>
          </w:p>
        </w:tc>
      </w:tr>
      <w:tr w:rsidR="00464B28">
        <w:trPr>
          <w:trHeight w:val="377"/>
        </w:trPr>
        <w:tc>
          <w:tcPr>
            <w:tcW w:w="1416" w:type="dxa"/>
            <w:vAlign w:val="center"/>
          </w:tcPr>
          <w:p w:rsidR="00464B28" w:rsidRDefault="00EE0CC2">
            <w:pPr>
              <w:widowControl/>
              <w:spacing w:line="360" w:lineRule="auto"/>
              <w:jc w:val="center"/>
              <w:rPr>
                <w:rFonts w:ascii="宋体" w:hAnsi="宋体" w:cs="宋体"/>
                <w:bCs/>
                <w:color w:val="000000"/>
                <w:kern w:val="0"/>
                <w:szCs w:val="21"/>
              </w:rPr>
            </w:pPr>
            <w:r>
              <w:rPr>
                <w:rFonts w:ascii="宋体" w:hAnsi="宋体" w:cs="宋体" w:hint="eastAsia"/>
                <w:color w:val="000000"/>
                <w:kern w:val="0"/>
                <w:szCs w:val="21"/>
              </w:rPr>
              <w:t>招聘人数</w:t>
            </w:r>
          </w:p>
        </w:tc>
        <w:tc>
          <w:tcPr>
            <w:tcW w:w="3625" w:type="dxa"/>
            <w:vAlign w:val="center"/>
          </w:tcPr>
          <w:p w:rsidR="00464B28" w:rsidRDefault="00EE0CC2">
            <w:pPr>
              <w:widowControl/>
              <w:spacing w:line="360" w:lineRule="auto"/>
              <w:jc w:val="center"/>
              <w:rPr>
                <w:rFonts w:ascii="宋体" w:hAnsi="宋体" w:cs="宋体"/>
                <w:bCs/>
                <w:color w:val="000000"/>
                <w:kern w:val="0"/>
                <w:szCs w:val="21"/>
              </w:rPr>
            </w:pPr>
            <w:r>
              <w:rPr>
                <w:rFonts w:ascii="宋体" w:hAnsi="宋体" w:cs="宋体" w:hint="eastAsia"/>
                <w:bCs/>
                <w:color w:val="000000"/>
                <w:kern w:val="0"/>
                <w:szCs w:val="21"/>
              </w:rPr>
              <w:t>30</w:t>
            </w:r>
          </w:p>
        </w:tc>
        <w:tc>
          <w:tcPr>
            <w:tcW w:w="3348" w:type="dxa"/>
            <w:vAlign w:val="center"/>
          </w:tcPr>
          <w:p w:rsidR="00464B28" w:rsidRDefault="00EE0CC2">
            <w:pPr>
              <w:widowControl/>
              <w:spacing w:line="360" w:lineRule="auto"/>
              <w:jc w:val="center"/>
              <w:rPr>
                <w:rFonts w:ascii="宋体" w:hAnsi="宋体" w:cs="宋体"/>
                <w:bCs/>
                <w:color w:val="000000"/>
                <w:kern w:val="0"/>
                <w:szCs w:val="21"/>
              </w:rPr>
            </w:pPr>
            <w:r>
              <w:rPr>
                <w:rFonts w:ascii="宋体" w:hAnsi="宋体" w:cs="宋体"/>
                <w:bCs/>
                <w:kern w:val="0"/>
                <w:szCs w:val="21"/>
              </w:rPr>
              <w:t>1</w:t>
            </w:r>
            <w:r>
              <w:rPr>
                <w:rFonts w:ascii="宋体" w:hAnsi="宋体" w:cs="宋体" w:hint="eastAsia"/>
                <w:bCs/>
                <w:kern w:val="0"/>
                <w:szCs w:val="21"/>
              </w:rPr>
              <w:t>0</w:t>
            </w:r>
          </w:p>
        </w:tc>
      </w:tr>
      <w:tr w:rsidR="00464B28">
        <w:trPr>
          <w:trHeight w:val="371"/>
        </w:trPr>
        <w:tc>
          <w:tcPr>
            <w:tcW w:w="1416" w:type="dxa"/>
            <w:vAlign w:val="center"/>
          </w:tcPr>
          <w:p w:rsidR="00464B28" w:rsidRDefault="00EE0CC2">
            <w:pPr>
              <w:widowControl/>
              <w:spacing w:line="360" w:lineRule="auto"/>
              <w:jc w:val="center"/>
              <w:rPr>
                <w:rFonts w:ascii="宋体" w:hAnsi="宋体" w:cs="宋体"/>
                <w:bCs/>
                <w:color w:val="000000"/>
                <w:kern w:val="0"/>
                <w:szCs w:val="21"/>
              </w:rPr>
            </w:pPr>
            <w:r>
              <w:rPr>
                <w:rFonts w:ascii="宋体" w:hAnsi="宋体" w:cs="宋体" w:hint="eastAsia"/>
                <w:color w:val="000000"/>
                <w:kern w:val="0"/>
                <w:szCs w:val="21"/>
              </w:rPr>
              <w:t>工作地点</w:t>
            </w:r>
          </w:p>
        </w:tc>
        <w:tc>
          <w:tcPr>
            <w:tcW w:w="6973" w:type="dxa"/>
            <w:gridSpan w:val="2"/>
            <w:vAlign w:val="center"/>
          </w:tcPr>
          <w:p w:rsidR="00464B28" w:rsidRDefault="00EE0CC2">
            <w:pPr>
              <w:widowControl/>
              <w:spacing w:line="360" w:lineRule="auto"/>
              <w:jc w:val="center"/>
              <w:rPr>
                <w:rFonts w:ascii="宋体" w:hAnsi="宋体" w:cs="宋体"/>
                <w:bCs/>
                <w:color w:val="000000"/>
                <w:kern w:val="0"/>
                <w:szCs w:val="21"/>
              </w:rPr>
            </w:pPr>
            <w:r>
              <w:rPr>
                <w:rFonts w:ascii="宋体" w:hAnsi="宋体" w:cs="宋体" w:hint="eastAsia"/>
                <w:bCs/>
                <w:color w:val="000000"/>
                <w:kern w:val="0"/>
                <w:szCs w:val="21"/>
              </w:rPr>
              <w:t>北京、山东、江苏、广东、福建、云南、贵州、四川</w:t>
            </w:r>
          </w:p>
        </w:tc>
      </w:tr>
    </w:tbl>
    <w:p w:rsidR="00464B28" w:rsidRDefault="00EE0CC2">
      <w:pPr>
        <w:spacing w:line="360" w:lineRule="auto"/>
        <w:jc w:val="left"/>
        <w:rPr>
          <w:rFonts w:ascii="宋体" w:hAnsi="宋体"/>
          <w:szCs w:val="21"/>
        </w:rPr>
      </w:pPr>
      <w:r>
        <w:rPr>
          <w:rFonts w:ascii="宋体" w:hAnsi="宋体" w:hint="eastAsia"/>
          <w:szCs w:val="21"/>
        </w:rPr>
        <w:t>3、学习成绩要求：</w:t>
      </w:r>
    </w:p>
    <w:p w:rsidR="00464B28" w:rsidRDefault="00EE0CC2">
      <w:pPr>
        <w:spacing w:line="360" w:lineRule="auto"/>
        <w:ind w:firstLine="420"/>
        <w:jc w:val="left"/>
        <w:rPr>
          <w:rFonts w:ascii="宋体" w:hAnsi="宋体"/>
          <w:szCs w:val="21"/>
        </w:rPr>
      </w:pPr>
      <w:r>
        <w:rPr>
          <w:rFonts w:ascii="宋体" w:hAnsi="宋体" w:hint="eastAsia"/>
          <w:szCs w:val="21"/>
        </w:rPr>
        <w:t>成绩良好、专业课程优秀，大学英语四级及以上，熟练使用办公软件。</w:t>
      </w:r>
    </w:p>
    <w:p w:rsidR="00464B28" w:rsidRDefault="00EE0CC2">
      <w:pPr>
        <w:spacing w:line="360" w:lineRule="auto"/>
        <w:jc w:val="left"/>
        <w:rPr>
          <w:rFonts w:ascii="宋体" w:hAnsi="宋体"/>
          <w:szCs w:val="21"/>
        </w:rPr>
      </w:pPr>
      <w:r>
        <w:rPr>
          <w:rFonts w:ascii="宋体" w:hAnsi="宋体"/>
          <w:szCs w:val="21"/>
        </w:rPr>
        <w:t>4</w:t>
      </w:r>
      <w:r>
        <w:rPr>
          <w:rFonts w:ascii="宋体" w:hAnsi="宋体" w:hint="eastAsia"/>
          <w:szCs w:val="21"/>
        </w:rPr>
        <w:t>、综合素质要求：</w:t>
      </w:r>
    </w:p>
    <w:p w:rsidR="00464B28" w:rsidRDefault="00EE0CC2">
      <w:pPr>
        <w:spacing w:line="360" w:lineRule="auto"/>
        <w:ind w:firstLine="420"/>
        <w:jc w:val="left"/>
        <w:rPr>
          <w:rFonts w:ascii="宋体" w:hAnsi="宋体"/>
          <w:szCs w:val="21"/>
        </w:rPr>
      </w:pPr>
      <w:r>
        <w:rPr>
          <w:rFonts w:ascii="宋体" w:hAnsi="宋体" w:hint="eastAsia"/>
          <w:szCs w:val="21"/>
        </w:rPr>
        <w:t>身体健康，积极</w:t>
      </w:r>
      <w:r>
        <w:rPr>
          <w:rFonts w:ascii="宋体" w:hAnsi="宋体"/>
          <w:szCs w:val="21"/>
        </w:rPr>
        <w:t>进取，</w:t>
      </w:r>
      <w:r>
        <w:rPr>
          <w:rFonts w:ascii="宋体" w:hAnsi="宋体" w:hint="eastAsia"/>
          <w:szCs w:val="21"/>
        </w:rPr>
        <w:t>具备良好的语言表达能力；热爱建筑工程事业，认同北京建工的企业文化和价值观，具有强烈的责任感与吃苦耐劳的品格。</w:t>
      </w:r>
    </w:p>
    <w:p w:rsidR="00464B28" w:rsidRDefault="00EE0CC2">
      <w:pPr>
        <w:pStyle w:val="2"/>
        <w:numPr>
          <w:ilvl w:val="0"/>
          <w:numId w:val="1"/>
        </w:numPr>
        <w:autoSpaceDE w:val="0"/>
        <w:autoSpaceDN w:val="0"/>
        <w:adjustRightInd w:val="0"/>
        <w:spacing w:line="360" w:lineRule="auto"/>
        <w:ind w:firstLineChars="0"/>
        <w:jc w:val="left"/>
        <w:rPr>
          <w:b/>
          <w:szCs w:val="21"/>
        </w:rPr>
      </w:pPr>
      <w:r>
        <w:rPr>
          <w:rFonts w:hint="eastAsia"/>
          <w:b/>
          <w:szCs w:val="21"/>
        </w:rPr>
        <w:t>招聘流程</w:t>
      </w:r>
    </w:p>
    <w:p w:rsidR="00464B28" w:rsidRDefault="00EE0CC2">
      <w:pPr>
        <w:pStyle w:val="1"/>
        <w:spacing w:line="360" w:lineRule="auto"/>
        <w:ind w:firstLineChars="0" w:firstLine="0"/>
        <w:rPr>
          <w:rFonts w:ascii="宋体" w:hAnsi="宋体"/>
          <w:szCs w:val="21"/>
        </w:rPr>
      </w:pPr>
      <w:r>
        <w:rPr>
          <w:rFonts w:ascii="宋体" w:hAnsi="宋体" w:hint="eastAsia"/>
          <w:szCs w:val="21"/>
        </w:rPr>
        <w:t>1、</w:t>
      </w:r>
      <w:r>
        <w:rPr>
          <w:rFonts w:ascii="宋体" w:hAnsi="宋体" w:hint="eastAsia"/>
          <w:b/>
          <w:szCs w:val="21"/>
        </w:rPr>
        <w:t>简历投递</w:t>
      </w:r>
      <w:r>
        <w:rPr>
          <w:rFonts w:ascii="宋体" w:hAnsi="宋体" w:hint="eastAsia"/>
          <w:szCs w:val="21"/>
        </w:rPr>
        <w:t>：网上简历投递、宣讲会、</w:t>
      </w:r>
      <w:proofErr w:type="gramStart"/>
      <w:r>
        <w:rPr>
          <w:rFonts w:ascii="宋体" w:hAnsi="宋体" w:hint="eastAsia"/>
          <w:szCs w:val="21"/>
        </w:rPr>
        <w:t>双选会现场</w:t>
      </w:r>
      <w:proofErr w:type="gramEnd"/>
      <w:r>
        <w:rPr>
          <w:rFonts w:ascii="宋体" w:hAnsi="宋体" w:hint="eastAsia"/>
          <w:szCs w:val="21"/>
        </w:rPr>
        <w:t>简历投递。</w:t>
      </w:r>
    </w:p>
    <w:p w:rsidR="00464B28" w:rsidRDefault="00EE0CC2">
      <w:pPr>
        <w:pStyle w:val="1"/>
        <w:spacing w:line="360" w:lineRule="auto"/>
        <w:ind w:firstLineChars="0" w:firstLine="0"/>
        <w:rPr>
          <w:rFonts w:ascii="宋体" w:hAnsi="宋体"/>
          <w:szCs w:val="21"/>
        </w:rPr>
      </w:pPr>
      <w:r>
        <w:rPr>
          <w:rFonts w:ascii="宋体" w:hAnsi="宋体"/>
          <w:szCs w:val="21"/>
        </w:rPr>
        <w:t>2</w:t>
      </w:r>
      <w:r>
        <w:rPr>
          <w:rFonts w:ascii="宋体" w:hAnsi="宋体" w:hint="eastAsia"/>
          <w:szCs w:val="21"/>
        </w:rPr>
        <w:t>、</w:t>
      </w:r>
      <w:r>
        <w:rPr>
          <w:rFonts w:ascii="宋体" w:hAnsi="宋体" w:hint="eastAsia"/>
          <w:b/>
          <w:szCs w:val="21"/>
        </w:rPr>
        <w:t>简历筛选</w:t>
      </w:r>
      <w:r>
        <w:rPr>
          <w:rFonts w:ascii="宋体" w:hAnsi="宋体" w:hint="eastAsia"/>
          <w:szCs w:val="21"/>
        </w:rPr>
        <w:t>：公司人力资源部将组织相关专业人员就所投递的简历进行筛选，主要评估申请人的专业成绩、社会活动、实习经历以及其他特长等方面。</w:t>
      </w:r>
    </w:p>
    <w:p w:rsidR="00464B28" w:rsidRDefault="00EE0CC2">
      <w:pPr>
        <w:pStyle w:val="1"/>
        <w:spacing w:line="360" w:lineRule="auto"/>
        <w:ind w:firstLineChars="0" w:firstLine="0"/>
        <w:rPr>
          <w:rFonts w:ascii="宋体" w:hAnsi="宋体"/>
          <w:szCs w:val="21"/>
        </w:rPr>
      </w:pPr>
      <w:r>
        <w:rPr>
          <w:rFonts w:ascii="宋体" w:hAnsi="宋体" w:hint="eastAsia"/>
          <w:szCs w:val="21"/>
        </w:rPr>
        <w:t>3、</w:t>
      </w:r>
      <w:r>
        <w:rPr>
          <w:rFonts w:ascii="宋体" w:hAnsi="宋体" w:hint="eastAsia"/>
          <w:b/>
          <w:szCs w:val="21"/>
        </w:rPr>
        <w:t>一轮面试</w:t>
      </w:r>
      <w:r>
        <w:rPr>
          <w:rFonts w:ascii="宋体" w:hAnsi="宋体" w:hint="eastAsia"/>
          <w:szCs w:val="21"/>
        </w:rPr>
        <w:t>：简历通过评估的申请人将被邀请参加人力资源部组织的第一轮面试，人力资源部会根据面试表现来决定是否安排下一轮测试。</w:t>
      </w:r>
    </w:p>
    <w:p w:rsidR="00464B28" w:rsidRDefault="00EE0CC2">
      <w:pPr>
        <w:pStyle w:val="1"/>
        <w:spacing w:line="360" w:lineRule="auto"/>
        <w:ind w:firstLineChars="0" w:firstLine="0"/>
        <w:rPr>
          <w:rFonts w:ascii="宋体" w:hAnsi="宋体"/>
          <w:szCs w:val="21"/>
        </w:rPr>
      </w:pPr>
      <w:r>
        <w:rPr>
          <w:rFonts w:ascii="宋体" w:hAnsi="宋体" w:hint="eastAsia"/>
          <w:szCs w:val="21"/>
        </w:rPr>
        <w:t>4、</w:t>
      </w:r>
      <w:r>
        <w:rPr>
          <w:rFonts w:ascii="宋体" w:hAnsi="宋体" w:hint="eastAsia"/>
          <w:b/>
          <w:szCs w:val="21"/>
        </w:rPr>
        <w:t>网上测评</w:t>
      </w:r>
      <w:r>
        <w:rPr>
          <w:rFonts w:ascii="宋体" w:hAnsi="宋体" w:hint="eastAsia"/>
          <w:szCs w:val="21"/>
        </w:rPr>
        <w:t>：通过一轮面试的申请人将被邀请参加网络在线测评，具体以邮件的形式通知。</w:t>
      </w:r>
    </w:p>
    <w:p w:rsidR="00464B28" w:rsidRDefault="00EE0CC2">
      <w:pPr>
        <w:pStyle w:val="1"/>
        <w:spacing w:line="360" w:lineRule="auto"/>
        <w:ind w:firstLineChars="0" w:firstLine="0"/>
        <w:rPr>
          <w:rFonts w:ascii="宋体" w:hAnsi="宋体"/>
          <w:szCs w:val="21"/>
        </w:rPr>
      </w:pPr>
      <w:r>
        <w:rPr>
          <w:rFonts w:ascii="宋体" w:hAnsi="宋体" w:hint="eastAsia"/>
          <w:szCs w:val="21"/>
        </w:rPr>
        <w:t>5、</w:t>
      </w:r>
      <w:r>
        <w:rPr>
          <w:rFonts w:ascii="宋体" w:hAnsi="宋体" w:hint="eastAsia"/>
          <w:b/>
          <w:szCs w:val="21"/>
        </w:rPr>
        <w:t>二轮面试</w:t>
      </w:r>
      <w:r>
        <w:rPr>
          <w:rFonts w:ascii="宋体" w:hAnsi="宋体" w:hint="eastAsia"/>
          <w:szCs w:val="21"/>
        </w:rPr>
        <w:t>：通过两轮测试的人，将被邀请参加第二轮面试，对应聘者的专业素质以及深层次综合素质进行考察。</w:t>
      </w:r>
    </w:p>
    <w:p w:rsidR="00464B28" w:rsidRDefault="00EE0CC2">
      <w:pPr>
        <w:pStyle w:val="1"/>
        <w:spacing w:line="360" w:lineRule="auto"/>
        <w:ind w:firstLineChars="0" w:firstLine="0"/>
        <w:rPr>
          <w:rFonts w:ascii="宋体" w:hAnsi="宋体"/>
          <w:szCs w:val="21"/>
        </w:rPr>
      </w:pPr>
      <w:r>
        <w:rPr>
          <w:rFonts w:ascii="宋体" w:hAnsi="宋体" w:hint="eastAsia"/>
          <w:szCs w:val="21"/>
        </w:rPr>
        <w:t>6、人力资源部将根据实际招聘需要，进行相关环节的增删。</w:t>
      </w:r>
    </w:p>
    <w:p w:rsidR="00464B28" w:rsidRDefault="00E75FFD">
      <w:pPr>
        <w:autoSpaceDE w:val="0"/>
        <w:autoSpaceDN w:val="0"/>
        <w:adjustRightInd w:val="0"/>
        <w:spacing w:line="360" w:lineRule="auto"/>
        <w:ind w:firstLineChars="58" w:firstLine="122"/>
        <w:jc w:val="center"/>
        <w:rPr>
          <w:b/>
          <w:szCs w:val="21"/>
        </w:rPr>
      </w:pPr>
      <w:r>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9" o:spid="_x0000_i1025" type="#_x0000_t75" style="width:311.3pt;height:187.05pt">
            <v:imagedata r:id="rId8" o:title=""/>
          </v:shape>
        </w:pict>
      </w:r>
    </w:p>
    <w:p w:rsidR="00464B28" w:rsidRDefault="00464B28">
      <w:pPr>
        <w:autoSpaceDE w:val="0"/>
        <w:autoSpaceDN w:val="0"/>
        <w:adjustRightInd w:val="0"/>
        <w:spacing w:line="360" w:lineRule="auto"/>
        <w:jc w:val="left"/>
        <w:rPr>
          <w:b/>
          <w:szCs w:val="21"/>
        </w:rPr>
      </w:pPr>
    </w:p>
    <w:p w:rsidR="00464B28" w:rsidRDefault="00EE0CC2">
      <w:pPr>
        <w:autoSpaceDE w:val="0"/>
        <w:autoSpaceDN w:val="0"/>
        <w:adjustRightInd w:val="0"/>
        <w:spacing w:line="360" w:lineRule="auto"/>
        <w:ind w:firstLineChars="58" w:firstLine="122"/>
        <w:jc w:val="left"/>
        <w:rPr>
          <w:rFonts w:ascii="宋体" w:hAnsi="宋体"/>
          <w:b/>
          <w:szCs w:val="21"/>
        </w:rPr>
      </w:pPr>
      <w:r>
        <w:rPr>
          <w:rFonts w:ascii="宋体" w:hAnsi="宋体" w:hint="eastAsia"/>
          <w:b/>
          <w:szCs w:val="21"/>
        </w:rPr>
        <w:lastRenderedPageBreak/>
        <w:t>五</w:t>
      </w:r>
      <w:r>
        <w:rPr>
          <w:rFonts w:ascii="宋体" w:hAnsi="宋体"/>
          <w:b/>
          <w:szCs w:val="21"/>
        </w:rPr>
        <w:t>、加入我们</w:t>
      </w:r>
    </w:p>
    <w:p w:rsidR="00464B28" w:rsidRDefault="00EE0CC2">
      <w:pPr>
        <w:autoSpaceDE w:val="0"/>
        <w:autoSpaceDN w:val="0"/>
        <w:adjustRightInd w:val="0"/>
        <w:spacing w:line="360" w:lineRule="auto"/>
        <w:ind w:firstLineChars="177" w:firstLine="372"/>
        <w:jc w:val="left"/>
        <w:rPr>
          <w:rFonts w:ascii="宋体" w:hAnsi="宋体"/>
          <w:szCs w:val="21"/>
        </w:rPr>
      </w:pPr>
      <w:r>
        <w:rPr>
          <w:rFonts w:ascii="宋体" w:hAnsi="宋体" w:cs="Tahoma" w:hint="eastAsia"/>
          <w:kern w:val="0"/>
          <w:szCs w:val="21"/>
        </w:rPr>
        <w:t>招聘</w:t>
      </w:r>
      <w:r>
        <w:rPr>
          <w:rFonts w:ascii="宋体" w:hAnsi="宋体" w:cs="Tahoma"/>
          <w:kern w:val="0"/>
          <w:szCs w:val="21"/>
        </w:rPr>
        <w:t>邮箱：</w:t>
      </w:r>
      <w:hyperlink r:id="rId9" w:history="1">
        <w:r>
          <w:rPr>
            <w:rFonts w:ascii="宋体" w:hAnsi="宋体" w:cs="Tahoma"/>
            <w:kern w:val="0"/>
            <w:szCs w:val="21"/>
          </w:rPr>
          <w:t>hr</w:t>
        </w:r>
      </w:hyperlink>
      <w:hyperlink r:id="rId10" w:history="1">
        <w:r>
          <w:rPr>
            <w:rFonts w:ascii="宋体" w:hAnsi="宋体" w:cs="Tahoma"/>
            <w:kern w:val="0"/>
            <w:szCs w:val="21"/>
          </w:rPr>
          <w:t>@bcegc.cn</w:t>
        </w:r>
      </w:hyperlink>
      <w:r>
        <w:rPr>
          <w:rFonts w:ascii="宋体" w:hAnsi="宋体" w:cs="Tahoma" w:hint="eastAsia"/>
          <w:kern w:val="0"/>
          <w:szCs w:val="21"/>
        </w:rPr>
        <w:t>（投递</w:t>
      </w:r>
      <w:r>
        <w:rPr>
          <w:rFonts w:ascii="宋体" w:hAnsi="宋体" w:cs="Tahoma"/>
          <w:kern w:val="0"/>
          <w:szCs w:val="21"/>
        </w:rPr>
        <w:t>简历</w:t>
      </w:r>
      <w:r>
        <w:rPr>
          <w:rFonts w:ascii="宋体" w:hAnsi="宋体" w:cs="Tahoma" w:hint="eastAsia"/>
          <w:kern w:val="0"/>
          <w:szCs w:val="21"/>
        </w:rPr>
        <w:t>请将</w:t>
      </w:r>
      <w:r>
        <w:rPr>
          <w:rFonts w:ascii="宋体" w:hAnsi="宋体" w:cs="Tahoma"/>
          <w:kern w:val="0"/>
          <w:szCs w:val="21"/>
        </w:rPr>
        <w:t>标题设置为“</w:t>
      </w:r>
      <w:r>
        <w:rPr>
          <w:rFonts w:ascii="宋体" w:hAnsi="宋体" w:cs="Tahoma" w:hint="eastAsia"/>
          <w:kern w:val="0"/>
          <w:szCs w:val="21"/>
        </w:rPr>
        <w:t>学校</w:t>
      </w:r>
      <w:r>
        <w:rPr>
          <w:rFonts w:ascii="宋体" w:hAnsi="宋体" w:cs="Tahoma"/>
          <w:kern w:val="0"/>
          <w:szCs w:val="21"/>
        </w:rPr>
        <w:t>+专业+学历”）</w:t>
      </w:r>
    </w:p>
    <w:p w:rsidR="00464B28" w:rsidRDefault="00EE0CC2">
      <w:pPr>
        <w:autoSpaceDE w:val="0"/>
        <w:autoSpaceDN w:val="0"/>
        <w:adjustRightInd w:val="0"/>
        <w:spacing w:line="360" w:lineRule="auto"/>
        <w:ind w:firstLineChars="177" w:firstLine="372"/>
        <w:jc w:val="left"/>
        <w:rPr>
          <w:rFonts w:ascii="宋体" w:hAnsi="宋体"/>
          <w:szCs w:val="21"/>
        </w:rPr>
      </w:pPr>
      <w:r>
        <w:rPr>
          <w:rFonts w:ascii="宋体" w:hAnsi="宋体" w:cs="Tahoma"/>
          <w:kern w:val="0"/>
          <w:szCs w:val="21"/>
        </w:rPr>
        <w:t>公司地址：北京市</w:t>
      </w:r>
      <w:proofErr w:type="gramStart"/>
      <w:r>
        <w:rPr>
          <w:rFonts w:ascii="宋体" w:hAnsi="宋体" w:cs="Tahoma"/>
          <w:kern w:val="0"/>
          <w:szCs w:val="21"/>
        </w:rPr>
        <w:t>朝阳区京顺</w:t>
      </w:r>
      <w:proofErr w:type="gramEnd"/>
      <w:r>
        <w:rPr>
          <w:rFonts w:ascii="宋体" w:hAnsi="宋体" w:cs="Tahoma"/>
          <w:kern w:val="0"/>
          <w:szCs w:val="21"/>
        </w:rPr>
        <w:t>东街6号院A2-2楼</w:t>
      </w:r>
    </w:p>
    <w:p w:rsidR="00464B28" w:rsidRDefault="00EE0CC2">
      <w:pPr>
        <w:widowControl/>
        <w:spacing w:line="360" w:lineRule="auto"/>
        <w:ind w:firstLineChars="177" w:firstLine="372"/>
        <w:jc w:val="left"/>
        <w:rPr>
          <w:rFonts w:ascii="宋体" w:hAnsi="宋体" w:cs="Tahoma"/>
          <w:kern w:val="0"/>
          <w:szCs w:val="21"/>
        </w:rPr>
      </w:pPr>
      <w:r>
        <w:rPr>
          <w:rFonts w:ascii="宋体" w:hAnsi="宋体" w:cs="Tahoma"/>
          <w:kern w:val="0"/>
          <w:szCs w:val="21"/>
        </w:rPr>
        <w:t>公司网址：</w:t>
      </w:r>
      <w:r>
        <w:rPr>
          <w:rFonts w:ascii="宋体" w:hAnsi="宋体" w:cs="Tahoma" w:hint="eastAsia"/>
          <w:kern w:val="0"/>
          <w:szCs w:val="21"/>
        </w:rPr>
        <w:t>http://bcegc.bcegc.com</w:t>
      </w:r>
    </w:p>
    <w:tbl>
      <w:tblPr>
        <w:tblW w:w="8764" w:type="dxa"/>
        <w:jc w:val="center"/>
        <w:tblLayout w:type="fixed"/>
        <w:tblLook w:val="04A0" w:firstRow="1" w:lastRow="0" w:firstColumn="1" w:lastColumn="0" w:noHBand="0" w:noVBand="1"/>
      </w:tblPr>
      <w:tblGrid>
        <w:gridCol w:w="4382"/>
        <w:gridCol w:w="4382"/>
      </w:tblGrid>
      <w:tr w:rsidR="00464B28">
        <w:trPr>
          <w:jc w:val="center"/>
        </w:trPr>
        <w:tc>
          <w:tcPr>
            <w:tcW w:w="4382" w:type="dxa"/>
          </w:tcPr>
          <w:p w:rsidR="00464B28" w:rsidRDefault="00EE0CC2">
            <w:pPr>
              <w:widowControl/>
              <w:spacing w:line="360" w:lineRule="auto"/>
              <w:jc w:val="center"/>
              <w:rPr>
                <w:rFonts w:ascii="宋体" w:hAnsi="宋体" w:cs="Tahoma"/>
                <w:kern w:val="0"/>
                <w:sz w:val="20"/>
                <w:szCs w:val="21"/>
              </w:rPr>
            </w:pPr>
            <w:proofErr w:type="gramStart"/>
            <w:r>
              <w:rPr>
                <w:rFonts w:ascii="宋体" w:hAnsi="宋体" w:cs="Tahoma" w:hint="eastAsia"/>
                <w:kern w:val="0"/>
                <w:sz w:val="20"/>
                <w:szCs w:val="21"/>
              </w:rPr>
              <w:t>网申入口</w:t>
            </w:r>
            <w:proofErr w:type="gramEnd"/>
          </w:p>
        </w:tc>
        <w:tc>
          <w:tcPr>
            <w:tcW w:w="4382" w:type="dxa"/>
          </w:tcPr>
          <w:p w:rsidR="00464B28" w:rsidRDefault="00EE0CC2">
            <w:pPr>
              <w:widowControl/>
              <w:spacing w:line="360" w:lineRule="auto"/>
              <w:jc w:val="center"/>
              <w:rPr>
                <w:rFonts w:ascii="宋体" w:hAnsi="宋体" w:cs="Tahoma"/>
                <w:kern w:val="0"/>
                <w:sz w:val="20"/>
                <w:szCs w:val="21"/>
              </w:rPr>
            </w:pPr>
            <w:proofErr w:type="gramStart"/>
            <w:r>
              <w:rPr>
                <w:rFonts w:ascii="宋体" w:hAnsi="宋体" w:cs="Tahoma" w:hint="eastAsia"/>
                <w:kern w:val="0"/>
                <w:sz w:val="20"/>
                <w:szCs w:val="21"/>
              </w:rPr>
              <w:t>公司微信</w:t>
            </w:r>
            <w:proofErr w:type="gramEnd"/>
          </w:p>
        </w:tc>
      </w:tr>
      <w:tr w:rsidR="00464B28">
        <w:trPr>
          <w:trHeight w:val="2471"/>
          <w:jc w:val="center"/>
        </w:trPr>
        <w:tc>
          <w:tcPr>
            <w:tcW w:w="4382" w:type="dxa"/>
          </w:tcPr>
          <w:p w:rsidR="00464B28" w:rsidRDefault="00E75FFD">
            <w:pPr>
              <w:widowControl/>
              <w:spacing w:line="360" w:lineRule="auto"/>
              <w:jc w:val="center"/>
              <w:rPr>
                <w:rFonts w:ascii="宋体" w:hAnsi="宋体" w:cs="Tahoma"/>
                <w:kern w:val="0"/>
                <w:sz w:val="20"/>
                <w:szCs w:val="21"/>
              </w:rPr>
            </w:pPr>
            <w:r>
              <w:rPr>
                <w:rFonts w:ascii="宋体" w:hAnsi="宋体" w:cs="Tahoma"/>
                <w:kern w:val="0"/>
                <w:szCs w:val="21"/>
              </w:rPr>
              <w:pict>
                <v:shape id="Picture 3" o:spid="_x0000_i1026" type="#_x0000_t75" style="width:113.65pt;height:113.65pt">
                  <v:imagedata r:id="rId11" o:title="4b84e588b8a9b6d81f2b9c6b93edfe3"/>
                </v:shape>
              </w:pict>
            </w:r>
          </w:p>
        </w:tc>
        <w:tc>
          <w:tcPr>
            <w:tcW w:w="4382" w:type="dxa"/>
          </w:tcPr>
          <w:p w:rsidR="00464B28" w:rsidRDefault="00E75FFD">
            <w:pPr>
              <w:widowControl/>
              <w:spacing w:line="360" w:lineRule="auto"/>
              <w:jc w:val="center"/>
              <w:rPr>
                <w:rFonts w:ascii="宋体" w:hAnsi="宋体" w:cs="Tahoma"/>
                <w:kern w:val="0"/>
                <w:sz w:val="20"/>
                <w:szCs w:val="21"/>
              </w:rPr>
            </w:pPr>
            <w:r>
              <w:rPr>
                <w:rFonts w:ascii="宋体" w:hAnsi="宋体" w:cs="宋体"/>
                <w:kern w:val="0"/>
                <w:szCs w:val="21"/>
              </w:rPr>
              <w:pict>
                <v:shape id="图片 1" o:spid="_x0000_i1027" type="#_x0000_t75" style="width:112.25pt;height:113.65pt">
                  <v:imagedata r:id="rId12" o:title="" croptop="4958f" cropbottom="3956f" cropleft="4701f" cropright="4779f"/>
                </v:shape>
              </w:pict>
            </w:r>
          </w:p>
        </w:tc>
      </w:tr>
    </w:tbl>
    <w:p w:rsidR="00464B28" w:rsidRDefault="00464B28">
      <w:pPr>
        <w:widowControl/>
        <w:spacing w:line="360" w:lineRule="auto"/>
        <w:ind w:firstLineChars="177" w:firstLine="372"/>
        <w:jc w:val="left"/>
        <w:rPr>
          <w:rFonts w:ascii="宋体" w:hAnsi="宋体" w:cs="Tahoma"/>
          <w:kern w:val="0"/>
          <w:szCs w:val="21"/>
        </w:rPr>
      </w:pPr>
    </w:p>
    <w:p w:rsidR="00464B28" w:rsidRDefault="00464B28">
      <w:pPr>
        <w:autoSpaceDE w:val="0"/>
        <w:autoSpaceDN w:val="0"/>
        <w:adjustRightInd w:val="0"/>
        <w:spacing w:line="360" w:lineRule="auto"/>
        <w:ind w:firstLineChars="177" w:firstLine="372"/>
        <w:jc w:val="left"/>
        <w:rPr>
          <w:rFonts w:ascii="宋体" w:hAnsi="宋体" w:cs="宋体"/>
          <w:kern w:val="0"/>
          <w:szCs w:val="21"/>
        </w:rPr>
      </w:pPr>
    </w:p>
    <w:sectPr w:rsidR="00464B28">
      <w:pgSz w:w="11906" w:h="16838"/>
      <w:pgMar w:top="1440" w:right="1558"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2594"/>
    <w:multiLevelType w:val="multilevel"/>
    <w:tmpl w:val="18082594"/>
    <w:lvl w:ilvl="0">
      <w:start w:val="4"/>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C67"/>
    <w:rsid w:val="00005633"/>
    <w:rsid w:val="00015285"/>
    <w:rsid w:val="00022008"/>
    <w:rsid w:val="00025C9F"/>
    <w:rsid w:val="00026AF9"/>
    <w:rsid w:val="00026C9C"/>
    <w:rsid w:val="00027EBF"/>
    <w:rsid w:val="00030222"/>
    <w:rsid w:val="00036D54"/>
    <w:rsid w:val="000434A6"/>
    <w:rsid w:val="00044907"/>
    <w:rsid w:val="000644F2"/>
    <w:rsid w:val="00064E6A"/>
    <w:rsid w:val="0009664A"/>
    <w:rsid w:val="000A55F6"/>
    <w:rsid w:val="000A6967"/>
    <w:rsid w:val="000B28AF"/>
    <w:rsid w:val="000B28F1"/>
    <w:rsid w:val="000C59A1"/>
    <w:rsid w:val="000D5561"/>
    <w:rsid w:val="000E4899"/>
    <w:rsid w:val="000F0545"/>
    <w:rsid w:val="000F6D04"/>
    <w:rsid w:val="00103DA0"/>
    <w:rsid w:val="001154A7"/>
    <w:rsid w:val="0012302E"/>
    <w:rsid w:val="00125DAD"/>
    <w:rsid w:val="00134ED8"/>
    <w:rsid w:val="001434FA"/>
    <w:rsid w:val="00145628"/>
    <w:rsid w:val="00145EA2"/>
    <w:rsid w:val="00150653"/>
    <w:rsid w:val="001671E8"/>
    <w:rsid w:val="001757B0"/>
    <w:rsid w:val="0018351A"/>
    <w:rsid w:val="00186E88"/>
    <w:rsid w:val="001877F8"/>
    <w:rsid w:val="00194F69"/>
    <w:rsid w:val="00195E01"/>
    <w:rsid w:val="00197526"/>
    <w:rsid w:val="001B3374"/>
    <w:rsid w:val="001B4819"/>
    <w:rsid w:val="001B6850"/>
    <w:rsid w:val="001C55E4"/>
    <w:rsid w:val="001C75F4"/>
    <w:rsid w:val="001D1078"/>
    <w:rsid w:val="001D121B"/>
    <w:rsid w:val="001D47CB"/>
    <w:rsid w:val="001D71A9"/>
    <w:rsid w:val="001D7DB9"/>
    <w:rsid w:val="001E50AE"/>
    <w:rsid w:val="00200140"/>
    <w:rsid w:val="002054B1"/>
    <w:rsid w:val="00206ECE"/>
    <w:rsid w:val="002139DB"/>
    <w:rsid w:val="00226EED"/>
    <w:rsid w:val="00232009"/>
    <w:rsid w:val="00236325"/>
    <w:rsid w:val="0024117C"/>
    <w:rsid w:val="00242B15"/>
    <w:rsid w:val="00246774"/>
    <w:rsid w:val="002637E4"/>
    <w:rsid w:val="00264004"/>
    <w:rsid w:val="0027218F"/>
    <w:rsid w:val="00273486"/>
    <w:rsid w:val="00284CC2"/>
    <w:rsid w:val="00284CE6"/>
    <w:rsid w:val="0028594D"/>
    <w:rsid w:val="002879E3"/>
    <w:rsid w:val="002A11F2"/>
    <w:rsid w:val="002A3800"/>
    <w:rsid w:val="002B03F8"/>
    <w:rsid w:val="002C1DE2"/>
    <w:rsid w:val="002C62BB"/>
    <w:rsid w:val="002C7073"/>
    <w:rsid w:val="002C7547"/>
    <w:rsid w:val="002D116B"/>
    <w:rsid w:val="002E3CAC"/>
    <w:rsid w:val="0030434A"/>
    <w:rsid w:val="00312723"/>
    <w:rsid w:val="00325B05"/>
    <w:rsid w:val="00337171"/>
    <w:rsid w:val="0034308A"/>
    <w:rsid w:val="00354391"/>
    <w:rsid w:val="00354F19"/>
    <w:rsid w:val="00371898"/>
    <w:rsid w:val="003759F0"/>
    <w:rsid w:val="0037714B"/>
    <w:rsid w:val="003776B1"/>
    <w:rsid w:val="00383E6F"/>
    <w:rsid w:val="0038498A"/>
    <w:rsid w:val="00394732"/>
    <w:rsid w:val="0039668E"/>
    <w:rsid w:val="003A4657"/>
    <w:rsid w:val="003A4BBC"/>
    <w:rsid w:val="003B5293"/>
    <w:rsid w:val="003B5840"/>
    <w:rsid w:val="003B7940"/>
    <w:rsid w:val="003C02E8"/>
    <w:rsid w:val="003C7B39"/>
    <w:rsid w:val="003C7CCD"/>
    <w:rsid w:val="003D0975"/>
    <w:rsid w:val="0040221E"/>
    <w:rsid w:val="00403398"/>
    <w:rsid w:val="0040392B"/>
    <w:rsid w:val="00404A3A"/>
    <w:rsid w:val="004118CA"/>
    <w:rsid w:val="00411E32"/>
    <w:rsid w:val="00420AFC"/>
    <w:rsid w:val="00422A40"/>
    <w:rsid w:val="00440A27"/>
    <w:rsid w:val="004416E3"/>
    <w:rsid w:val="00441746"/>
    <w:rsid w:val="00445C8A"/>
    <w:rsid w:val="00463FD7"/>
    <w:rsid w:val="004646B5"/>
    <w:rsid w:val="00464B28"/>
    <w:rsid w:val="0046687B"/>
    <w:rsid w:val="00466ACA"/>
    <w:rsid w:val="00467DA8"/>
    <w:rsid w:val="0047003B"/>
    <w:rsid w:val="00470919"/>
    <w:rsid w:val="00473637"/>
    <w:rsid w:val="00481245"/>
    <w:rsid w:val="0048334B"/>
    <w:rsid w:val="00486D31"/>
    <w:rsid w:val="00495D0A"/>
    <w:rsid w:val="004A2D14"/>
    <w:rsid w:val="004B5005"/>
    <w:rsid w:val="004B6FFD"/>
    <w:rsid w:val="004B7862"/>
    <w:rsid w:val="004C1E55"/>
    <w:rsid w:val="004C1E9E"/>
    <w:rsid w:val="004D3282"/>
    <w:rsid w:val="004D4712"/>
    <w:rsid w:val="004D5423"/>
    <w:rsid w:val="004F2026"/>
    <w:rsid w:val="00500091"/>
    <w:rsid w:val="00505382"/>
    <w:rsid w:val="005116C2"/>
    <w:rsid w:val="00515D1B"/>
    <w:rsid w:val="00516C4A"/>
    <w:rsid w:val="005216DD"/>
    <w:rsid w:val="00527480"/>
    <w:rsid w:val="00530219"/>
    <w:rsid w:val="00531742"/>
    <w:rsid w:val="0053672F"/>
    <w:rsid w:val="00546424"/>
    <w:rsid w:val="0055214A"/>
    <w:rsid w:val="0057320C"/>
    <w:rsid w:val="0057352A"/>
    <w:rsid w:val="00587568"/>
    <w:rsid w:val="005879C4"/>
    <w:rsid w:val="005A39E6"/>
    <w:rsid w:val="005A7711"/>
    <w:rsid w:val="005B4D54"/>
    <w:rsid w:val="005B6906"/>
    <w:rsid w:val="005B6E0B"/>
    <w:rsid w:val="005C0B22"/>
    <w:rsid w:val="005C2679"/>
    <w:rsid w:val="005C2C43"/>
    <w:rsid w:val="005E29FF"/>
    <w:rsid w:val="005E5F51"/>
    <w:rsid w:val="005F3DC7"/>
    <w:rsid w:val="005F51CF"/>
    <w:rsid w:val="0060781D"/>
    <w:rsid w:val="006200C4"/>
    <w:rsid w:val="0063086F"/>
    <w:rsid w:val="00630FE9"/>
    <w:rsid w:val="006323A5"/>
    <w:rsid w:val="00641221"/>
    <w:rsid w:val="0064326A"/>
    <w:rsid w:val="00644F89"/>
    <w:rsid w:val="0065248D"/>
    <w:rsid w:val="006549DA"/>
    <w:rsid w:val="00657184"/>
    <w:rsid w:val="00663F69"/>
    <w:rsid w:val="00672D8B"/>
    <w:rsid w:val="00674318"/>
    <w:rsid w:val="006819AB"/>
    <w:rsid w:val="006836EE"/>
    <w:rsid w:val="00686C5C"/>
    <w:rsid w:val="006876ED"/>
    <w:rsid w:val="006A0ECE"/>
    <w:rsid w:val="006A12AB"/>
    <w:rsid w:val="006A1AF3"/>
    <w:rsid w:val="006A4384"/>
    <w:rsid w:val="006B0CAC"/>
    <w:rsid w:val="006B0D60"/>
    <w:rsid w:val="006C14CD"/>
    <w:rsid w:val="006C331D"/>
    <w:rsid w:val="006D155F"/>
    <w:rsid w:val="006D1817"/>
    <w:rsid w:val="006D65D4"/>
    <w:rsid w:val="006E1B77"/>
    <w:rsid w:val="00704F8E"/>
    <w:rsid w:val="00712DA7"/>
    <w:rsid w:val="007217A9"/>
    <w:rsid w:val="00726EE0"/>
    <w:rsid w:val="007270C7"/>
    <w:rsid w:val="0073269B"/>
    <w:rsid w:val="00736B84"/>
    <w:rsid w:val="00744417"/>
    <w:rsid w:val="00757F43"/>
    <w:rsid w:val="00770EAC"/>
    <w:rsid w:val="0077156C"/>
    <w:rsid w:val="00774439"/>
    <w:rsid w:val="007750CF"/>
    <w:rsid w:val="00794C57"/>
    <w:rsid w:val="007A3F9F"/>
    <w:rsid w:val="007C2D41"/>
    <w:rsid w:val="007F556A"/>
    <w:rsid w:val="00800126"/>
    <w:rsid w:val="00800AAF"/>
    <w:rsid w:val="00802966"/>
    <w:rsid w:val="00814491"/>
    <w:rsid w:val="00815732"/>
    <w:rsid w:val="0082049D"/>
    <w:rsid w:val="00821775"/>
    <w:rsid w:val="008227B9"/>
    <w:rsid w:val="00825397"/>
    <w:rsid w:val="0084686B"/>
    <w:rsid w:val="00851A93"/>
    <w:rsid w:val="00865E29"/>
    <w:rsid w:val="008719EF"/>
    <w:rsid w:val="0087409F"/>
    <w:rsid w:val="00881F70"/>
    <w:rsid w:val="008831AD"/>
    <w:rsid w:val="008857B6"/>
    <w:rsid w:val="008866F4"/>
    <w:rsid w:val="0089068D"/>
    <w:rsid w:val="008A53BC"/>
    <w:rsid w:val="008B029F"/>
    <w:rsid w:val="008B21A6"/>
    <w:rsid w:val="008B5803"/>
    <w:rsid w:val="008C0419"/>
    <w:rsid w:val="008C2323"/>
    <w:rsid w:val="008C5A71"/>
    <w:rsid w:val="008C6C6A"/>
    <w:rsid w:val="008E38D4"/>
    <w:rsid w:val="008F4376"/>
    <w:rsid w:val="00904D01"/>
    <w:rsid w:val="009056D9"/>
    <w:rsid w:val="00910041"/>
    <w:rsid w:val="0091091B"/>
    <w:rsid w:val="00920241"/>
    <w:rsid w:val="009213D7"/>
    <w:rsid w:val="00922166"/>
    <w:rsid w:val="00937551"/>
    <w:rsid w:val="00942702"/>
    <w:rsid w:val="00960A33"/>
    <w:rsid w:val="00982E4A"/>
    <w:rsid w:val="0099187A"/>
    <w:rsid w:val="0099712C"/>
    <w:rsid w:val="009A0CD7"/>
    <w:rsid w:val="009A1FFD"/>
    <w:rsid w:val="009A419D"/>
    <w:rsid w:val="009A56E3"/>
    <w:rsid w:val="009C0077"/>
    <w:rsid w:val="009C3898"/>
    <w:rsid w:val="009D36EE"/>
    <w:rsid w:val="009D5AEC"/>
    <w:rsid w:val="009D5E62"/>
    <w:rsid w:val="009E5452"/>
    <w:rsid w:val="009F5292"/>
    <w:rsid w:val="00A0270B"/>
    <w:rsid w:val="00A0281D"/>
    <w:rsid w:val="00A111AC"/>
    <w:rsid w:val="00A14EC0"/>
    <w:rsid w:val="00A16D97"/>
    <w:rsid w:val="00A27B15"/>
    <w:rsid w:val="00A31BBD"/>
    <w:rsid w:val="00A33948"/>
    <w:rsid w:val="00A368C2"/>
    <w:rsid w:val="00A4319A"/>
    <w:rsid w:val="00A6435B"/>
    <w:rsid w:val="00AA316F"/>
    <w:rsid w:val="00AA709C"/>
    <w:rsid w:val="00AB0705"/>
    <w:rsid w:val="00AB076F"/>
    <w:rsid w:val="00AB3F50"/>
    <w:rsid w:val="00AB717A"/>
    <w:rsid w:val="00AC164B"/>
    <w:rsid w:val="00AC3C27"/>
    <w:rsid w:val="00AC723D"/>
    <w:rsid w:val="00AD034E"/>
    <w:rsid w:val="00AD7169"/>
    <w:rsid w:val="00AF2C8C"/>
    <w:rsid w:val="00B0051D"/>
    <w:rsid w:val="00B06405"/>
    <w:rsid w:val="00B23884"/>
    <w:rsid w:val="00B258BD"/>
    <w:rsid w:val="00B30E1C"/>
    <w:rsid w:val="00B33AEC"/>
    <w:rsid w:val="00B34244"/>
    <w:rsid w:val="00B3577D"/>
    <w:rsid w:val="00B3782D"/>
    <w:rsid w:val="00B4485A"/>
    <w:rsid w:val="00B55DC9"/>
    <w:rsid w:val="00B604CE"/>
    <w:rsid w:val="00B704F3"/>
    <w:rsid w:val="00B806F8"/>
    <w:rsid w:val="00B81BF4"/>
    <w:rsid w:val="00B843E2"/>
    <w:rsid w:val="00BA699D"/>
    <w:rsid w:val="00BB1FEC"/>
    <w:rsid w:val="00BB2C37"/>
    <w:rsid w:val="00BB41D1"/>
    <w:rsid w:val="00BD68F6"/>
    <w:rsid w:val="00BF6DD8"/>
    <w:rsid w:val="00C02471"/>
    <w:rsid w:val="00C055D8"/>
    <w:rsid w:val="00C15415"/>
    <w:rsid w:val="00C26914"/>
    <w:rsid w:val="00C76E41"/>
    <w:rsid w:val="00C854BC"/>
    <w:rsid w:val="00C8690F"/>
    <w:rsid w:val="00C90DEE"/>
    <w:rsid w:val="00C92DCE"/>
    <w:rsid w:val="00C93A5E"/>
    <w:rsid w:val="00C97CD1"/>
    <w:rsid w:val="00CB7B9E"/>
    <w:rsid w:val="00CC1D94"/>
    <w:rsid w:val="00CC60ED"/>
    <w:rsid w:val="00CD2380"/>
    <w:rsid w:val="00CE0262"/>
    <w:rsid w:val="00CE1B12"/>
    <w:rsid w:val="00CE5364"/>
    <w:rsid w:val="00CE60CA"/>
    <w:rsid w:val="00D119E2"/>
    <w:rsid w:val="00D22991"/>
    <w:rsid w:val="00D251F7"/>
    <w:rsid w:val="00D37F0E"/>
    <w:rsid w:val="00D50C67"/>
    <w:rsid w:val="00D54225"/>
    <w:rsid w:val="00D7509F"/>
    <w:rsid w:val="00D8650D"/>
    <w:rsid w:val="00DA4848"/>
    <w:rsid w:val="00DA65B9"/>
    <w:rsid w:val="00DB1C40"/>
    <w:rsid w:val="00DB3B6B"/>
    <w:rsid w:val="00DB5CA6"/>
    <w:rsid w:val="00DC3E89"/>
    <w:rsid w:val="00DD6283"/>
    <w:rsid w:val="00DE6D3A"/>
    <w:rsid w:val="00DF5802"/>
    <w:rsid w:val="00E06FCF"/>
    <w:rsid w:val="00E1053E"/>
    <w:rsid w:val="00E30503"/>
    <w:rsid w:val="00E407FE"/>
    <w:rsid w:val="00E42ED9"/>
    <w:rsid w:val="00E5126E"/>
    <w:rsid w:val="00E53412"/>
    <w:rsid w:val="00E56290"/>
    <w:rsid w:val="00E60F6C"/>
    <w:rsid w:val="00E641DD"/>
    <w:rsid w:val="00E7019B"/>
    <w:rsid w:val="00E75FFD"/>
    <w:rsid w:val="00EA502C"/>
    <w:rsid w:val="00EB5410"/>
    <w:rsid w:val="00ED5DCD"/>
    <w:rsid w:val="00EE0CC2"/>
    <w:rsid w:val="00EE3BE0"/>
    <w:rsid w:val="00EE731F"/>
    <w:rsid w:val="00EF4E39"/>
    <w:rsid w:val="00F028BC"/>
    <w:rsid w:val="00F14EA1"/>
    <w:rsid w:val="00F1644C"/>
    <w:rsid w:val="00F17EB1"/>
    <w:rsid w:val="00F2005E"/>
    <w:rsid w:val="00F27D96"/>
    <w:rsid w:val="00F40933"/>
    <w:rsid w:val="00F42363"/>
    <w:rsid w:val="00F4313B"/>
    <w:rsid w:val="00F452A1"/>
    <w:rsid w:val="00F501BD"/>
    <w:rsid w:val="00F522D1"/>
    <w:rsid w:val="00F5294C"/>
    <w:rsid w:val="00F56F9C"/>
    <w:rsid w:val="00F61372"/>
    <w:rsid w:val="00F6186D"/>
    <w:rsid w:val="00F6440E"/>
    <w:rsid w:val="00F87AB8"/>
    <w:rsid w:val="00F90A74"/>
    <w:rsid w:val="00F9180F"/>
    <w:rsid w:val="00F95758"/>
    <w:rsid w:val="00F96437"/>
    <w:rsid w:val="00FB3199"/>
    <w:rsid w:val="00FB6AD7"/>
    <w:rsid w:val="00FC22D6"/>
    <w:rsid w:val="00FC70E8"/>
    <w:rsid w:val="00FD2290"/>
    <w:rsid w:val="00FE310B"/>
    <w:rsid w:val="03206AD9"/>
    <w:rsid w:val="037A5632"/>
    <w:rsid w:val="042807AF"/>
    <w:rsid w:val="0A943A53"/>
    <w:rsid w:val="2C4A76D4"/>
    <w:rsid w:val="337D7BE4"/>
    <w:rsid w:val="412133EB"/>
    <w:rsid w:val="4BC00DD4"/>
    <w:rsid w:val="6808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qFormat/>
    <w:pPr>
      <w:spacing w:beforeAutospacing="1" w:afterAutospacing="1"/>
      <w:jc w:val="left"/>
    </w:pPr>
    <w:rPr>
      <w:rFonts w:cs="Times New Roman"/>
      <w:kern w:val="0"/>
      <w:sz w:val="24"/>
      <w:szCs w:val="24"/>
    </w:rPr>
  </w:style>
  <w:style w:type="paragraph" w:styleId="a8">
    <w:name w:val="Title"/>
    <w:basedOn w:val="a"/>
    <w:next w:val="a"/>
    <w:link w:val="Char3"/>
    <w:uiPriority w:val="10"/>
    <w:qFormat/>
    <w:pPr>
      <w:spacing w:before="240" w:after="60"/>
      <w:jc w:val="center"/>
      <w:outlineLvl w:val="0"/>
    </w:pPr>
    <w:rPr>
      <w:rFonts w:ascii="Calibri Light" w:hAnsi="Calibri Light"/>
      <w:b/>
      <w:bCs/>
      <w:sz w:val="32"/>
      <w:szCs w:val="32"/>
    </w:rPr>
  </w:style>
  <w:style w:type="character" w:styleId="a9">
    <w:name w:val="Strong"/>
    <w:qFormat/>
    <w:rPr>
      <w:b/>
    </w:rPr>
  </w:style>
  <w:style w:type="character" w:styleId="aa">
    <w:name w:val="page number"/>
    <w:basedOn w:val="a0"/>
    <w:unhideWhenUsed/>
  </w:style>
  <w:style w:type="character" w:styleId="ab">
    <w:name w:val="Hyperlink"/>
    <w:uiPriority w:val="99"/>
    <w:unhideWhenUsed/>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rPr>
      <w:rFonts w:ascii="Times New Roman" w:hAnsi="Times New Roman" w:cs="Times New Roman"/>
      <w:szCs w:val="24"/>
    </w:rPr>
  </w:style>
  <w:style w:type="paragraph" w:customStyle="1" w:styleId="2">
    <w:name w:val="列出段落2"/>
    <w:basedOn w:val="a"/>
    <w:uiPriority w:val="34"/>
    <w:qFormat/>
    <w:pPr>
      <w:ind w:firstLineChars="200" w:firstLine="420"/>
    </w:pPr>
  </w:style>
  <w:style w:type="character" w:customStyle="1" w:styleId="Char3">
    <w:name w:val="标题 Char"/>
    <w:link w:val="a8"/>
    <w:uiPriority w:val="10"/>
    <w:rPr>
      <w:rFonts w:ascii="Calibri Light" w:eastAsia="宋体" w:hAnsi="Calibri Light" w:cs="黑体"/>
      <w:b/>
      <w:bCs/>
      <w:sz w:val="32"/>
      <w:szCs w:val="32"/>
      <w:lang w:val="en-US" w:eastAsia="zh-CN" w:bidi="ar-SA"/>
    </w:rPr>
  </w:style>
  <w:style w:type="character" w:customStyle="1" w:styleId="Char2">
    <w:name w:val="副标题 Char"/>
    <w:link w:val="a6"/>
    <w:uiPriority w:val="11"/>
    <w:rPr>
      <w:rFonts w:ascii="Calibri Light" w:eastAsia="宋体" w:hAnsi="Calibri Light" w:cs="黑体"/>
      <w:b/>
      <w:bCs/>
      <w:kern w:val="28"/>
      <w:sz w:val="32"/>
      <w:szCs w:val="32"/>
      <w:lang w:val="en-US" w:eastAsia="zh-CN" w:bidi="ar-SA"/>
    </w:rPr>
  </w:style>
  <w:style w:type="character" w:customStyle="1" w:styleId="Char">
    <w:name w:val="批注框文本 Char"/>
    <w:link w:val="a3"/>
    <w:uiPriority w:val="99"/>
    <w:semiHidden/>
    <w:rPr>
      <w:rFonts w:ascii="Times New Roman" w:eastAsia="宋体" w:hAnsi="Times New Roman" w:cs="Times New Roman"/>
      <w:sz w:val="18"/>
      <w:szCs w:val="18"/>
      <w:lang w:val="en-US" w:eastAsia="zh-CN" w:bidi="ar-SA"/>
    </w:rPr>
  </w:style>
  <w:style w:type="character" w:customStyle="1" w:styleId="Char1">
    <w:name w:val="页眉 Char"/>
    <w:link w:val="a5"/>
    <w:uiPriority w:val="99"/>
    <w:rPr>
      <w:rFonts w:ascii="Times New Roman" w:eastAsia="宋体" w:hAnsi="Times New Roman" w:cs="Times New Roman"/>
      <w:sz w:val="18"/>
      <w:szCs w:val="18"/>
      <w:lang w:val="en-US" w:eastAsia="zh-CN" w:bidi="ar-SA"/>
    </w:rPr>
  </w:style>
  <w:style w:type="character" w:customStyle="1" w:styleId="Char0">
    <w:name w:val="页脚 Char"/>
    <w:link w:val="a4"/>
    <w:uiPriority w:val="99"/>
    <w:qFormat/>
    <w:rPr>
      <w:rFonts w:ascii="Times New Roman" w:eastAsia="宋体" w:hAnsi="Times New Roman" w:cs="Times New Roman"/>
      <w:sz w:val="18"/>
      <w:szCs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hyperlink" Target="mailto:HR@bcegc.cn" TargetMode="External"/><Relationship Id="rId4" Type="http://schemas.openxmlformats.org/officeDocument/2006/relationships/styles" Target="styles.xml"/><Relationship Id="rId9" Type="http://schemas.openxmlformats.org/officeDocument/2006/relationships/hyperlink" Target="mailto:HR@bceg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51B419-222B-4C81-ADDB-BC838FEF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北京建工土木工程有限公司2020校园招聘简章</dc:title>
  <dc:creator>HP-002</dc:creator>
  <cp:lastModifiedBy>Wang Ziyuan</cp:lastModifiedBy>
  <cp:revision>2</cp:revision>
  <cp:lastPrinted>2017-09-18T06:53:00Z</cp:lastPrinted>
  <dcterms:created xsi:type="dcterms:W3CDTF">2018-09-28T03:07:00Z</dcterms:created>
  <dcterms:modified xsi:type="dcterms:W3CDTF">2020-09-22T00:53:00Z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