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F9ED69">
      <w:pPr>
        <w:spacing w:line="120" w:lineRule="auto"/>
        <w:jc w:val="center"/>
        <w:rPr>
          <w:rFonts w:hint="eastAsia" w:ascii="黑体" w:hAnsi="黑体" w:eastAsia="黑体" w:cs="黑体"/>
          <w:b/>
          <w:bCs/>
          <w:color w:val="0070C0"/>
          <w:sz w:val="36"/>
          <w:szCs w:val="36"/>
        </w:rPr>
      </w:pPr>
      <w:r>
        <w:rPr>
          <w:rFonts w:hint="eastAsia" w:ascii="黑体" w:hAnsi="黑体" w:eastAsia="黑体" w:cs="黑体"/>
          <w:b/>
          <w:bCs/>
          <w:color w:val="0070C0"/>
          <w:sz w:val="36"/>
          <w:szCs w:val="36"/>
        </w:rPr>
        <w:t>森特士兴集团股份有限公司</w:t>
      </w:r>
    </w:p>
    <w:p w14:paraId="21A326F9">
      <w:pPr>
        <w:spacing w:line="120" w:lineRule="auto"/>
        <w:jc w:val="center"/>
        <w:rPr>
          <w:rFonts w:cs="宋体"/>
          <w:color w:val="2E75B5"/>
          <w:sz w:val="28"/>
          <w:szCs w:val="28"/>
        </w:rPr>
      </w:pPr>
      <w:r>
        <w:rPr>
          <w:rFonts w:cs="宋体"/>
          <w:color w:val="2E75B5"/>
          <w:sz w:val="28"/>
          <w:szCs w:val="28"/>
        </w:rPr>
        <w:t>CENTER INT GROUP CO.LTD</w:t>
      </w:r>
    </w:p>
    <w:p w14:paraId="1AD88355">
      <w:pPr>
        <w:jc w:val="center"/>
        <w:rPr>
          <w:rFonts w:hint="eastAsia" w:ascii="华文中宋" w:hAnsi="华文中宋" w:eastAsia="华文中宋" w:cs="华文中宋"/>
          <w:sz w:val="24"/>
        </w:rPr>
      </w:pPr>
      <w:r>
        <w:rPr>
          <w:rFonts w:hint="eastAsia" w:ascii="华文中宋" w:hAnsi="华文中宋" w:eastAsia="华文中宋" w:cs="华文中宋"/>
          <w:sz w:val="24"/>
        </w:rPr>
        <w:t>股票简称：森特股份    股票代码：603098</w:t>
      </w:r>
    </w:p>
    <w:p w14:paraId="7A87C328">
      <w:pPr>
        <w:jc w:val="center"/>
        <w:rPr>
          <w:rFonts w:hint="eastAsia" w:ascii="黑体" w:hAnsi="黑体" w:eastAsia="黑体" w:cs="黑体"/>
          <w:sz w:val="24"/>
        </w:rPr>
      </w:pPr>
      <w:r>
        <w:rPr>
          <w:sz w:val="24"/>
        </w:rPr>
        <mc:AlternateContent>
          <mc:Choice Requires="wps">
            <w:drawing>
              <wp:anchor distT="0" distB="0" distL="114300" distR="114300" simplePos="0" relativeHeight="251659264" behindDoc="0" locked="0" layoutInCell="1" allowOverlap="1">
                <wp:simplePos x="0" y="0"/>
                <wp:positionH relativeFrom="column">
                  <wp:posOffset>17780</wp:posOffset>
                </wp:positionH>
                <wp:positionV relativeFrom="paragraph">
                  <wp:posOffset>69215</wp:posOffset>
                </wp:positionV>
                <wp:extent cx="5400675" cy="17780"/>
                <wp:effectExtent l="0" t="6350" r="9525" b="6350"/>
                <wp:wrapNone/>
                <wp:docPr id="6" name="直接连接符 6"/>
                <wp:cNvGraphicFramePr/>
                <a:graphic xmlns:a="http://schemas.openxmlformats.org/drawingml/2006/main">
                  <a:graphicData uri="http://schemas.microsoft.com/office/word/2010/wordprocessingShape">
                    <wps:wsp>
                      <wps:cNvCnPr/>
                      <wps:spPr>
                        <a:xfrm flipV="1">
                          <a:off x="0" y="0"/>
                          <a:ext cx="5400675" cy="17780"/>
                        </a:xfrm>
                        <a:prstGeom prst="line">
                          <a:avLst/>
                        </a:prstGeom>
                        <a:ln w="12700" cap="flat" cmpd="sng">
                          <a:solidFill>
                            <a:srgbClr val="0070C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4pt;margin-top:5.45pt;height:1.4pt;width:425.25pt;z-index:251659264;mso-width-relative:page;mso-height-relative:page;" filled="f" stroked="t" coordsize="21600,21600" o:gfxdata="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NIkH61wAAAAcBAAAPAAAAAAAAAAEAIAAAACIAAABkcnMvZG93&#10;bnJldi54bWxQSwECFAAUAAAACACHTuJASbFAXwECAADzAwAADgAAAAAAAAABACAAAAAmAQAAZHJz&#10;L2Uyb0RvYy54bWxQSwUGAAAAAAYABgBZAQAAmQUAAAAA&#10;">
                <v:fill on="f" focussize="0,0"/>
                <v:stroke weight="1pt" color="#0070C0" joinstyle="round"/>
                <v:imagedata o:title=""/>
                <o:lock v:ext="edit" aspectratio="f"/>
              </v:line>
            </w:pict>
          </mc:Fallback>
        </mc:AlternateContent>
      </w:r>
    </w:p>
    <w:p w14:paraId="47F079AB">
      <w:pPr>
        <w:spacing w:line="240" w:lineRule="auto"/>
        <w:ind w:firstLine="560"/>
        <w:rPr>
          <w:rFonts w:hint="eastAsia" w:ascii="仿宋" w:hAnsi="仿宋" w:eastAsia="仿宋" w:cs="仿宋"/>
          <w:sz w:val="30"/>
          <w:szCs w:val="30"/>
        </w:rPr>
      </w:pPr>
      <w:r>
        <w:rPr>
          <w:rFonts w:hint="eastAsia" w:ascii="仿宋" w:hAnsi="仿宋" w:eastAsia="仿宋" w:cs="仿宋"/>
          <w:sz w:val="30"/>
          <w:szCs w:val="30"/>
        </w:rPr>
        <w:t>森特士兴集团股份有限公司（以下简称：森特股份，股票代码：603098）创建于2001年，注册资本金5.39亿元人民币。集团员工1</w:t>
      </w:r>
      <w:r>
        <w:rPr>
          <w:rFonts w:hint="eastAsia" w:ascii="仿宋" w:hAnsi="仿宋" w:eastAsia="仿宋" w:cs="仿宋"/>
          <w:sz w:val="30"/>
          <w:szCs w:val="30"/>
          <w:lang w:val="en-US" w:eastAsia="zh-CN"/>
        </w:rPr>
        <w:t>8</w:t>
      </w:r>
      <w:r>
        <w:rPr>
          <w:rFonts w:hint="eastAsia" w:ascii="仿宋" w:hAnsi="仿宋" w:eastAsia="仿宋" w:cs="仿宋"/>
          <w:sz w:val="30"/>
          <w:szCs w:val="30"/>
        </w:rPr>
        <w:t>00余人，其中技术研发人员占比达30%以上，26家分支机构分布全国，业务覆盖建筑金属围护系统、建筑光伏一体化（BIPV）</w:t>
      </w:r>
      <w:r>
        <w:rPr>
          <w:rFonts w:hint="eastAsia" w:ascii="仿宋" w:hAnsi="仿宋" w:eastAsia="仿宋" w:cs="仿宋"/>
          <w:sz w:val="30"/>
          <w:szCs w:val="30"/>
          <w:lang w:eastAsia="zh-CN"/>
        </w:rPr>
        <w:t>、</w:t>
      </w:r>
      <w:r>
        <w:rPr>
          <w:rFonts w:hint="eastAsia" w:ascii="仿宋" w:hAnsi="仿宋" w:eastAsia="仿宋" w:cs="仿宋"/>
          <w:sz w:val="30"/>
          <w:szCs w:val="30"/>
          <w:lang w:val="en-US" w:eastAsia="zh-CN"/>
        </w:rPr>
        <w:t>综合智慧能源、</w:t>
      </w:r>
      <w:r>
        <w:rPr>
          <w:rFonts w:hint="eastAsia" w:ascii="仿宋" w:hAnsi="仿宋" w:eastAsia="仿宋" w:cs="仿宋"/>
          <w:sz w:val="30"/>
          <w:szCs w:val="30"/>
        </w:rPr>
        <w:t>生态治理</w:t>
      </w:r>
      <w:r>
        <w:rPr>
          <w:rFonts w:hint="eastAsia" w:ascii="仿宋" w:hAnsi="仿宋" w:eastAsia="仿宋" w:cs="仿宋"/>
          <w:sz w:val="30"/>
          <w:szCs w:val="30"/>
          <w:lang w:val="en-US" w:eastAsia="zh-CN"/>
        </w:rPr>
        <w:t>四</w:t>
      </w:r>
      <w:r>
        <w:rPr>
          <w:rFonts w:hint="eastAsia" w:ascii="仿宋" w:hAnsi="仿宋" w:eastAsia="仿宋" w:cs="仿宋"/>
          <w:sz w:val="30"/>
          <w:szCs w:val="30"/>
        </w:rPr>
        <w:t>大领域。其中，在建筑金属围护系统领域，是国内第一家在主板上市提供金属围护系统解决方案的专业公司。</w:t>
      </w:r>
    </w:p>
    <w:p w14:paraId="010B04B0">
      <w:pPr>
        <w:spacing w:line="240" w:lineRule="auto"/>
        <w:ind w:firstLine="560"/>
        <w:rPr>
          <w:rFonts w:hint="eastAsia" w:ascii="仿宋" w:hAnsi="仿宋" w:eastAsia="仿宋" w:cs="仿宋"/>
          <w:sz w:val="30"/>
          <w:szCs w:val="30"/>
        </w:rPr>
      </w:pPr>
      <w:r>
        <w:rPr>
          <w:rFonts w:hint="eastAsia" w:ascii="仿宋" w:hAnsi="仿宋" w:eastAsia="仿宋" w:cs="仿宋"/>
          <w:sz w:val="30"/>
          <w:szCs w:val="30"/>
        </w:rPr>
        <w:t>森特股份先后获评国家高新技术企业、北京市企业技术中心、北京市设计创新中心、机械工业工程研究中心、北京市民营百强企业、北京市专精特新小巨人和</w:t>
      </w:r>
      <w:r>
        <w:rPr>
          <w:rFonts w:hint="eastAsia" w:ascii="仿宋" w:hAnsi="仿宋" w:eastAsia="仿宋" w:cs="仿宋"/>
          <w:b/>
          <w:bCs/>
          <w:sz w:val="30"/>
          <w:szCs w:val="30"/>
        </w:rPr>
        <w:t>国家工信部专精特新小巨人企业</w:t>
      </w:r>
      <w:r>
        <w:rPr>
          <w:rFonts w:hint="eastAsia" w:ascii="仿宋" w:hAnsi="仿宋" w:eastAsia="仿宋" w:cs="仿宋"/>
          <w:sz w:val="30"/>
          <w:szCs w:val="30"/>
        </w:rPr>
        <w:t>、北京市首批“</w:t>
      </w:r>
      <w:r>
        <w:rPr>
          <w:rFonts w:hint="eastAsia" w:ascii="仿宋" w:hAnsi="仿宋" w:eastAsia="仿宋" w:cs="仿宋"/>
          <w:b/>
          <w:bCs/>
          <w:sz w:val="30"/>
          <w:szCs w:val="30"/>
        </w:rPr>
        <w:t>隐形冠军</w:t>
      </w:r>
      <w:r>
        <w:rPr>
          <w:rFonts w:hint="eastAsia" w:ascii="仿宋" w:hAnsi="仿宋" w:eastAsia="仿宋" w:cs="仿宋"/>
          <w:sz w:val="30"/>
          <w:szCs w:val="30"/>
        </w:rPr>
        <w:t xml:space="preserve">”企业。 </w:t>
      </w:r>
    </w:p>
    <w:p w14:paraId="517CB481">
      <w:pPr>
        <w:spacing w:line="240" w:lineRule="auto"/>
        <w:ind w:firstLine="560"/>
        <w:rPr>
          <w:rFonts w:hint="eastAsia" w:ascii="仿宋" w:hAnsi="仿宋" w:eastAsia="仿宋" w:cs="仿宋"/>
          <w:sz w:val="30"/>
          <w:szCs w:val="30"/>
        </w:rPr>
      </w:pPr>
      <w:r>
        <w:rPr>
          <w:rFonts w:hint="eastAsia" w:ascii="仿宋" w:hAnsi="仿宋" w:eastAsia="仿宋" w:cs="仿宋"/>
          <w:sz w:val="30"/>
          <w:szCs w:val="30"/>
        </w:rPr>
        <w:t xml:space="preserve">从金属围护系统专业咨询、科技研发、工程设计、材料加工到施工安装，森特股份为客户提供工业建筑及公共建筑高端金属建筑围护一体化解决方案。连续多年荣登“全国金属围护系统行业十强企业”榜首，屡获“鲁班奖”“金禹奖”等行业大奖，在行业享有极高的美誉度。 </w:t>
      </w:r>
    </w:p>
    <w:p w14:paraId="17C1DE1F">
      <w:pPr>
        <w:spacing w:line="240" w:lineRule="auto"/>
        <w:ind w:firstLine="560"/>
        <w:rPr>
          <w:rFonts w:hint="eastAsia" w:ascii="仿宋" w:hAnsi="仿宋" w:eastAsia="仿宋" w:cs="仿宋"/>
          <w:sz w:val="30"/>
          <w:szCs w:val="30"/>
        </w:rPr>
      </w:pPr>
      <w:r>
        <w:rPr>
          <w:rFonts w:hint="eastAsia" w:ascii="仿宋" w:hAnsi="仿宋" w:eastAsia="仿宋" w:cs="仿宋"/>
          <w:sz w:val="30"/>
          <w:szCs w:val="30"/>
        </w:rPr>
        <w:t>森特股份历经24年的行业深耕，在持续专注于高端金属建筑围护系统领域的同时，以“投资引进、国产转化”为战略路径，积极开拓生态环境治理第二主业，逐步形成了以土壤与地下水修复、噪声治理及矿山灾害治理为核心的三大业务板块。秉承“为人类为社会创造更美好的工作和生活环境”的企业使命，致力于打造成为中国生态环境治理领域的领军企业。在土壤及地下水污染修复、地质灾害防治与矿山治理领域，森特股份不断加强国际技术合作，引进国际领先的原位修复技术及关键设备，并与国内多家科研院所构建起紧密的产学研协同创新体系。在钢铁、焦化、石化、化工、农药、电力电子、有色冶炼、矿山等行业领域承担了众多国内备受关注的土壤修复治理项目，积累了丰富的技术和工程经验。2021年11月9日，森特股份正式独立环保板块，成立森特士兴环保科技有限公司，进一步聚焦生态环境治理业务。</w:t>
      </w:r>
    </w:p>
    <w:p w14:paraId="50B86F10">
      <w:pPr>
        <w:spacing w:line="240" w:lineRule="auto"/>
        <w:ind w:firstLine="560"/>
        <w:rPr>
          <w:rFonts w:hint="eastAsia" w:ascii="仿宋" w:hAnsi="仿宋" w:eastAsia="仿宋" w:cs="仿宋"/>
          <w:sz w:val="30"/>
          <w:szCs w:val="30"/>
        </w:rPr>
      </w:pPr>
      <w:r>
        <w:rPr>
          <w:rFonts w:hint="eastAsia" w:ascii="仿宋" w:hAnsi="仿宋" w:eastAsia="仿宋" w:cs="仿宋"/>
          <w:sz w:val="30"/>
          <w:szCs w:val="30"/>
        </w:rPr>
        <w:t>2021年，隆基绿能注资森特股份，成为森特股份第二大股东，2022年，森特股份与隆基绿能进一步整合，收购其隆基新能源公司，以“隆基-森特”双品牌战略为引领，聚焦建筑光伏一体化（BIPV）市场，全力向新能源领域战略转型。金属围护系统和光伏行业的领军企业，携手合作，强强联合，将隆基绿能在光伏材料、光伏发电设备、太阳能电站系统的科技优势，与森特股份先进的生产基地、成熟的设计施工管理团队结合起来，赋予建筑屋面节能减排性能，共同开拓建筑光伏一体化新领域，全力打造建筑光伏一体化（BIPV）全球第一品牌，实现双碳目标，助力全球绿色建筑发展。</w:t>
      </w:r>
    </w:p>
    <w:p w14:paraId="0A30D2FA">
      <w:pPr>
        <w:spacing w:line="240" w:lineRule="auto"/>
        <w:ind w:firstLine="560"/>
        <w:rPr>
          <w:rFonts w:hint="eastAsia" w:ascii="仿宋" w:hAnsi="仿宋" w:eastAsia="仿宋" w:cs="仿宋"/>
          <w:sz w:val="30"/>
          <w:szCs w:val="30"/>
        </w:rPr>
      </w:pPr>
      <w:r>
        <w:rPr>
          <w:rFonts w:hint="eastAsia" w:ascii="仿宋" w:hAnsi="仿宋" w:eastAsia="仿宋" w:cs="仿宋"/>
          <w:sz w:val="30"/>
          <w:szCs w:val="30"/>
          <w:lang w:val="en-US" w:eastAsia="zh-CN"/>
        </w:rPr>
        <w:t>2025年7月，</w:t>
      </w:r>
      <w:r>
        <w:rPr>
          <w:rFonts w:hint="eastAsia" w:ascii="仿宋" w:hAnsi="仿宋" w:eastAsia="仿宋" w:cs="仿宋"/>
          <w:sz w:val="30"/>
          <w:szCs w:val="30"/>
        </w:rPr>
        <w:t>森特股份首个光储充一体化项目 —— 内蒙古联创煤炭零碳园区成功落地。项目规划光伏装机容量 270MW，总投资约 10.3 亿元，涵盖光伏发电、储能系统、智能充电及能源管理云平台全链条技术服务。聚焦煤炭物流环节深度脱碳，依托 “森特 + 隆基 + 华为” 三方协同生态服务体系，打造行业领先智慧能源解决方案，充分展现了我们在综合智慧能源领域的雄厚技术实力与强大市场竞争力。</w:t>
      </w:r>
    </w:p>
    <w:p w14:paraId="1ABCB33F">
      <w:pPr>
        <w:widowControl/>
        <w:shd w:val="clear" w:color="auto" w:fill="FFFFFF"/>
        <w:spacing w:line="360" w:lineRule="atLeast"/>
        <w:jc w:val="center"/>
        <w:rPr>
          <w:rFonts w:hint="eastAsia" w:ascii="黑体" w:hAnsi="黑体" w:eastAsia="黑体" w:cs="Helvetica"/>
          <w:b/>
          <w:bCs/>
          <w:color w:val="000000"/>
          <w:kern w:val="0"/>
          <w:sz w:val="36"/>
          <w:szCs w:val="36"/>
        </w:rPr>
      </w:pPr>
      <w:bookmarkStart w:id="0" w:name="_Hlk130559520"/>
    </w:p>
    <w:bookmarkEnd w:id="0"/>
    <w:p w14:paraId="57A6B010">
      <w:pPr>
        <w:pStyle w:val="2"/>
        <w:ind w:left="0" w:leftChars="0" w:firstLine="0" w:firstLineChars="0"/>
        <w:rPr>
          <w:rFonts w:hint="eastAsia"/>
        </w:rPr>
      </w:pPr>
    </w:p>
    <w:tbl>
      <w:tblPr>
        <w:tblStyle w:val="4"/>
        <w:tblW w:w="9303" w:type="dxa"/>
        <w:tblInd w:w="-505" w:type="dxa"/>
        <w:tblLayout w:type="fixed"/>
        <w:tblCellMar>
          <w:top w:w="0" w:type="dxa"/>
          <w:left w:w="108" w:type="dxa"/>
          <w:bottom w:w="0" w:type="dxa"/>
          <w:right w:w="108" w:type="dxa"/>
        </w:tblCellMar>
      </w:tblPr>
      <w:tblGrid>
        <w:gridCol w:w="1920"/>
        <w:gridCol w:w="1322"/>
        <w:gridCol w:w="2039"/>
        <w:gridCol w:w="2523"/>
        <w:gridCol w:w="1499"/>
      </w:tblGrid>
      <w:tr w14:paraId="5F5B3187">
        <w:tblPrEx>
          <w:tblCellMar>
            <w:top w:w="0" w:type="dxa"/>
            <w:left w:w="108" w:type="dxa"/>
            <w:bottom w:w="0" w:type="dxa"/>
            <w:right w:w="108" w:type="dxa"/>
          </w:tblCellMar>
        </w:tblPrEx>
        <w:trPr>
          <w:trHeight w:val="540" w:hRule="atLeast"/>
        </w:trPr>
        <w:tc>
          <w:tcPr>
            <w:tcW w:w="9303" w:type="dxa"/>
            <w:gridSpan w:val="5"/>
            <w:tcBorders>
              <w:top w:val="nil"/>
              <w:left w:val="nil"/>
              <w:bottom w:val="nil"/>
              <w:right w:val="nil"/>
            </w:tcBorders>
            <w:noWrap/>
            <w:vAlign w:val="center"/>
          </w:tcPr>
          <w:p w14:paraId="218E5C44">
            <w:pPr>
              <w:widowControl/>
              <w:jc w:val="center"/>
              <w:textAlignment w:val="center"/>
              <w:rPr>
                <w:rFonts w:hint="eastAsia" w:ascii="黑体" w:hAnsi="宋体" w:eastAsia="黑体" w:cs="黑体"/>
                <w:b/>
                <w:bCs/>
                <w:color w:val="000000"/>
                <w:kern w:val="0"/>
                <w:sz w:val="30"/>
                <w:szCs w:val="30"/>
                <w:lang w:bidi="ar"/>
              </w:rPr>
            </w:pPr>
            <w:r>
              <w:rPr>
                <w:rFonts w:hint="eastAsia" w:ascii="黑体" w:hAnsi="宋体" w:eastAsia="黑体" w:cs="黑体"/>
                <w:b/>
                <w:bCs/>
                <w:color w:val="000000"/>
                <w:kern w:val="0"/>
                <w:sz w:val="30"/>
                <w:szCs w:val="30"/>
                <w:lang w:bidi="ar"/>
              </w:rPr>
              <w:t>校园招聘岗位需求</w:t>
            </w:r>
          </w:p>
        </w:tc>
      </w:tr>
      <w:tr w14:paraId="359AC430">
        <w:tblPrEx>
          <w:tblCellMar>
            <w:top w:w="0" w:type="dxa"/>
            <w:left w:w="108" w:type="dxa"/>
            <w:bottom w:w="0" w:type="dxa"/>
            <w:right w:w="108" w:type="dxa"/>
          </w:tblCellMar>
        </w:tblPrEx>
        <w:trPr>
          <w:trHeight w:val="626" w:hRule="atLeast"/>
        </w:trPr>
        <w:tc>
          <w:tcPr>
            <w:tcW w:w="1920" w:type="dxa"/>
            <w:tcBorders>
              <w:top w:val="single" w:color="auto" w:sz="4" w:space="0"/>
              <w:left w:val="single" w:color="auto" w:sz="4" w:space="0"/>
              <w:bottom w:val="single" w:color="auto" w:sz="4" w:space="0"/>
              <w:right w:val="single" w:color="auto" w:sz="4" w:space="0"/>
            </w:tcBorders>
            <w:shd w:val="clear" w:color="auto" w:fill="8DB3E2"/>
            <w:vAlign w:val="center"/>
          </w:tcPr>
          <w:p w14:paraId="142177E3">
            <w:pPr>
              <w:widowControl/>
              <w:jc w:val="center"/>
              <w:textAlignment w:val="center"/>
              <w:rPr>
                <w:rFonts w:hint="eastAsia" w:ascii="微软雅黑" w:hAnsi="微软雅黑" w:eastAsia="微软雅黑" w:cs="微软雅黑"/>
                <w:b/>
                <w:bCs/>
                <w:color w:val="000000"/>
                <w:kern w:val="0"/>
                <w:sz w:val="24"/>
                <w:lang w:bidi="ar"/>
              </w:rPr>
            </w:pPr>
            <w:r>
              <w:rPr>
                <w:rFonts w:hint="eastAsia" w:ascii="微软雅黑" w:hAnsi="微软雅黑" w:eastAsia="微软雅黑" w:cs="微软雅黑"/>
                <w:b/>
                <w:bCs/>
                <w:color w:val="000000"/>
                <w:kern w:val="0"/>
                <w:sz w:val="24"/>
                <w:lang w:bidi="ar"/>
              </w:rPr>
              <w:t>岗位名称</w:t>
            </w:r>
          </w:p>
        </w:tc>
        <w:tc>
          <w:tcPr>
            <w:tcW w:w="1322" w:type="dxa"/>
            <w:tcBorders>
              <w:top w:val="single" w:color="000000" w:sz="4" w:space="0"/>
              <w:left w:val="single" w:color="auto" w:sz="4" w:space="0"/>
              <w:bottom w:val="single" w:color="auto" w:sz="4" w:space="0"/>
              <w:right w:val="single" w:color="000000" w:sz="4" w:space="0"/>
            </w:tcBorders>
            <w:shd w:val="clear" w:color="auto" w:fill="9CC2E5"/>
            <w:vAlign w:val="center"/>
          </w:tcPr>
          <w:p w14:paraId="5ABD9D91">
            <w:pPr>
              <w:widowControl/>
              <w:jc w:val="center"/>
              <w:textAlignment w:val="center"/>
              <w:rPr>
                <w:rFonts w:hint="eastAsia" w:ascii="微软雅黑" w:hAnsi="微软雅黑" w:eastAsia="微软雅黑" w:cs="微软雅黑"/>
                <w:b/>
                <w:bCs/>
                <w:color w:val="000000"/>
                <w:sz w:val="24"/>
              </w:rPr>
            </w:pPr>
            <w:r>
              <w:rPr>
                <w:rFonts w:hint="eastAsia" w:ascii="微软雅黑" w:hAnsi="微软雅黑" w:eastAsia="微软雅黑" w:cs="微软雅黑"/>
                <w:b/>
                <w:bCs/>
                <w:color w:val="000000"/>
                <w:kern w:val="0"/>
                <w:sz w:val="24"/>
                <w:lang w:bidi="ar"/>
              </w:rPr>
              <w:t>岗位分类</w:t>
            </w:r>
          </w:p>
        </w:tc>
        <w:tc>
          <w:tcPr>
            <w:tcW w:w="2039" w:type="dxa"/>
            <w:tcBorders>
              <w:top w:val="single" w:color="000000" w:sz="4" w:space="0"/>
              <w:left w:val="single" w:color="000000" w:sz="4" w:space="0"/>
              <w:bottom w:val="single" w:color="auto" w:sz="4" w:space="0"/>
              <w:right w:val="single" w:color="000000" w:sz="4" w:space="0"/>
            </w:tcBorders>
            <w:shd w:val="clear" w:color="auto" w:fill="9CC2E5"/>
            <w:vAlign w:val="center"/>
          </w:tcPr>
          <w:p w14:paraId="0315DD25">
            <w:pPr>
              <w:widowControl/>
              <w:jc w:val="center"/>
              <w:textAlignment w:val="center"/>
              <w:rPr>
                <w:rFonts w:hint="eastAsia" w:ascii="微软雅黑" w:hAnsi="微软雅黑" w:eastAsia="微软雅黑" w:cs="微软雅黑"/>
                <w:b/>
                <w:bCs/>
                <w:color w:val="000000"/>
                <w:sz w:val="24"/>
              </w:rPr>
            </w:pPr>
            <w:r>
              <w:rPr>
                <w:rFonts w:hint="eastAsia" w:ascii="微软雅黑" w:hAnsi="微软雅黑" w:eastAsia="微软雅黑" w:cs="微软雅黑"/>
                <w:b/>
                <w:bCs/>
                <w:color w:val="000000"/>
                <w:kern w:val="0"/>
                <w:sz w:val="24"/>
                <w:lang w:bidi="ar"/>
              </w:rPr>
              <w:t>轮岗方向</w:t>
            </w:r>
          </w:p>
        </w:tc>
        <w:tc>
          <w:tcPr>
            <w:tcW w:w="2523" w:type="dxa"/>
            <w:tcBorders>
              <w:top w:val="single" w:color="000000" w:sz="4" w:space="0"/>
              <w:left w:val="single" w:color="000000" w:sz="4" w:space="0"/>
              <w:bottom w:val="single" w:color="auto" w:sz="4" w:space="0"/>
              <w:right w:val="single" w:color="000000" w:sz="4" w:space="0"/>
            </w:tcBorders>
            <w:shd w:val="clear" w:color="auto" w:fill="9CC2E5"/>
            <w:vAlign w:val="center"/>
          </w:tcPr>
          <w:p w14:paraId="758EF54F">
            <w:pPr>
              <w:widowControl/>
              <w:jc w:val="center"/>
              <w:textAlignment w:val="center"/>
              <w:rPr>
                <w:rFonts w:hint="eastAsia" w:ascii="微软雅黑" w:hAnsi="微软雅黑" w:eastAsia="微软雅黑" w:cs="微软雅黑"/>
                <w:b/>
                <w:bCs/>
                <w:color w:val="000000"/>
                <w:sz w:val="24"/>
              </w:rPr>
            </w:pPr>
            <w:r>
              <w:rPr>
                <w:rFonts w:hint="eastAsia" w:ascii="微软雅黑" w:hAnsi="微软雅黑" w:eastAsia="微软雅黑" w:cs="微软雅黑"/>
                <w:b/>
                <w:bCs/>
                <w:color w:val="000000"/>
                <w:kern w:val="0"/>
                <w:sz w:val="24"/>
                <w:lang w:bidi="ar"/>
              </w:rPr>
              <w:t>专业要求</w:t>
            </w:r>
          </w:p>
        </w:tc>
        <w:tc>
          <w:tcPr>
            <w:tcW w:w="1499" w:type="dxa"/>
            <w:tcBorders>
              <w:top w:val="single" w:color="000000" w:sz="4" w:space="0"/>
              <w:left w:val="single" w:color="000000" w:sz="4" w:space="0"/>
              <w:bottom w:val="single" w:color="auto" w:sz="4" w:space="0"/>
              <w:right w:val="single" w:color="000000" w:sz="4" w:space="0"/>
            </w:tcBorders>
            <w:shd w:val="clear" w:color="auto" w:fill="9CC2E5"/>
            <w:vAlign w:val="center"/>
          </w:tcPr>
          <w:p w14:paraId="6A6745B6">
            <w:pPr>
              <w:widowControl/>
              <w:tabs>
                <w:tab w:val="left" w:pos="537"/>
              </w:tabs>
              <w:jc w:val="center"/>
              <w:textAlignment w:val="center"/>
              <w:rPr>
                <w:rFonts w:hint="eastAsia" w:ascii="微软雅黑" w:hAnsi="微软雅黑" w:eastAsia="微软雅黑" w:cs="微软雅黑"/>
                <w:b/>
                <w:bCs/>
                <w:color w:val="000000"/>
                <w:kern w:val="0"/>
                <w:sz w:val="24"/>
                <w:lang w:bidi="ar"/>
              </w:rPr>
            </w:pPr>
            <w:r>
              <w:rPr>
                <w:rFonts w:hint="eastAsia" w:ascii="微软雅黑" w:hAnsi="微软雅黑" w:eastAsia="微软雅黑" w:cs="微软雅黑"/>
                <w:b/>
                <w:bCs/>
                <w:color w:val="000000"/>
                <w:kern w:val="0"/>
                <w:sz w:val="24"/>
                <w:lang w:bidi="ar"/>
              </w:rPr>
              <w:t>备注</w:t>
            </w:r>
          </w:p>
        </w:tc>
      </w:tr>
      <w:tr w14:paraId="560BDCE5">
        <w:tblPrEx>
          <w:tblCellMar>
            <w:top w:w="0" w:type="dxa"/>
            <w:left w:w="108" w:type="dxa"/>
            <w:bottom w:w="0" w:type="dxa"/>
            <w:right w:w="108" w:type="dxa"/>
          </w:tblCellMar>
        </w:tblPrEx>
        <w:trPr>
          <w:trHeight w:val="703" w:hRule="atLeast"/>
        </w:trPr>
        <w:tc>
          <w:tcPr>
            <w:tcW w:w="1920" w:type="dxa"/>
            <w:vMerge w:val="restart"/>
            <w:tcBorders>
              <w:top w:val="single" w:color="auto" w:sz="4" w:space="0"/>
              <w:left w:val="single" w:color="auto" w:sz="4" w:space="0"/>
              <w:bottom w:val="single" w:color="auto" w:sz="4" w:space="0"/>
              <w:right w:val="single" w:color="auto" w:sz="4" w:space="0"/>
            </w:tcBorders>
            <w:vAlign w:val="center"/>
          </w:tcPr>
          <w:p w14:paraId="79C2D583">
            <w:pPr>
              <w:widowControl/>
              <w:spacing w:line="360" w:lineRule="exact"/>
              <w:jc w:val="center"/>
              <w:textAlignment w:val="center"/>
              <w:rPr>
                <w:rFonts w:hint="eastAsia" w:ascii="微软雅黑" w:hAnsi="微软雅黑" w:eastAsia="微软雅黑" w:cs="微软雅黑"/>
                <w:b/>
                <w:bCs/>
                <w:color w:val="000000"/>
                <w:kern w:val="0"/>
                <w:sz w:val="20"/>
                <w:szCs w:val="20"/>
                <w:lang w:bidi="ar"/>
              </w:rPr>
            </w:pPr>
            <w:r>
              <w:rPr>
                <w:rFonts w:hint="eastAsia" w:ascii="微软雅黑" w:hAnsi="微软雅黑" w:eastAsia="微软雅黑" w:cs="微软雅黑"/>
                <w:b/>
                <w:bCs/>
                <w:color w:val="000000"/>
                <w:kern w:val="0"/>
                <w:sz w:val="24"/>
                <w:lang w:bidi="ar"/>
              </w:rPr>
              <w:t>202</w:t>
            </w:r>
            <w:r>
              <w:rPr>
                <w:rFonts w:hint="eastAsia" w:ascii="微软雅黑" w:hAnsi="微软雅黑" w:eastAsia="微软雅黑" w:cs="微软雅黑"/>
                <w:b/>
                <w:bCs/>
                <w:color w:val="000000"/>
                <w:kern w:val="0"/>
                <w:sz w:val="24"/>
                <w:lang w:val="en-US" w:eastAsia="zh-CN" w:bidi="ar"/>
              </w:rPr>
              <w:t>6</w:t>
            </w:r>
            <w:r>
              <w:rPr>
                <w:rFonts w:hint="eastAsia" w:ascii="微软雅黑" w:hAnsi="微软雅黑" w:eastAsia="微软雅黑" w:cs="微软雅黑"/>
                <w:b/>
                <w:bCs/>
                <w:color w:val="000000"/>
                <w:kern w:val="0"/>
                <w:sz w:val="24"/>
                <w:lang w:bidi="ar"/>
              </w:rPr>
              <w:t>届特种兵</w:t>
            </w:r>
          </w:p>
        </w:tc>
        <w:tc>
          <w:tcPr>
            <w:tcW w:w="1322" w:type="dxa"/>
            <w:tcBorders>
              <w:top w:val="single" w:color="auto" w:sz="4" w:space="0"/>
              <w:left w:val="single" w:color="auto" w:sz="4" w:space="0"/>
              <w:bottom w:val="single" w:color="auto" w:sz="4" w:space="0"/>
              <w:right w:val="single" w:color="auto" w:sz="4" w:space="0"/>
            </w:tcBorders>
            <w:vAlign w:val="center"/>
          </w:tcPr>
          <w:p w14:paraId="5D6248E7">
            <w:pPr>
              <w:widowControl/>
              <w:spacing w:line="360" w:lineRule="exact"/>
              <w:jc w:val="center"/>
              <w:textAlignment w:val="center"/>
              <w:rPr>
                <w:rFonts w:hint="eastAsia" w:ascii="微软雅黑" w:hAnsi="微软雅黑" w:eastAsia="微软雅黑" w:cs="微软雅黑"/>
                <w:b/>
                <w:bCs/>
                <w:color w:val="000000"/>
                <w:kern w:val="0"/>
                <w:sz w:val="20"/>
                <w:szCs w:val="20"/>
                <w:lang w:bidi="ar"/>
              </w:rPr>
            </w:pPr>
            <w:r>
              <w:rPr>
                <w:rFonts w:hint="eastAsia" w:ascii="微软雅黑" w:hAnsi="微软雅黑" w:eastAsia="微软雅黑" w:cs="微软雅黑"/>
                <w:b/>
                <w:bCs/>
                <w:color w:val="000000"/>
                <w:kern w:val="0"/>
                <w:sz w:val="20"/>
                <w:szCs w:val="20"/>
                <w:lang w:bidi="ar"/>
              </w:rPr>
              <w:t>营销特种兵</w:t>
            </w:r>
          </w:p>
        </w:tc>
        <w:tc>
          <w:tcPr>
            <w:tcW w:w="2039" w:type="dxa"/>
            <w:tcBorders>
              <w:top w:val="single" w:color="000000" w:sz="4" w:space="0"/>
              <w:left w:val="single" w:color="auto" w:sz="4" w:space="0"/>
              <w:bottom w:val="single" w:color="000000" w:sz="4" w:space="0"/>
              <w:right w:val="single" w:color="auto" w:sz="4" w:space="0"/>
            </w:tcBorders>
            <w:vAlign w:val="center"/>
          </w:tcPr>
          <w:p w14:paraId="703AA682">
            <w:pPr>
              <w:widowControl/>
              <w:spacing w:line="360" w:lineRule="exact"/>
              <w:jc w:val="center"/>
              <w:textAlignment w:val="center"/>
              <w:rPr>
                <w:rFonts w:hint="eastAsia" w:ascii="微软雅黑" w:hAnsi="微软雅黑" w:eastAsia="微软雅黑" w:cs="微软雅黑"/>
                <w:color w:val="000000"/>
                <w:kern w:val="0"/>
                <w:sz w:val="20"/>
                <w:szCs w:val="20"/>
                <w:lang w:bidi="ar"/>
              </w:rPr>
            </w:pPr>
            <w:r>
              <w:rPr>
                <w:rFonts w:hint="eastAsia" w:ascii="微软雅黑" w:hAnsi="微软雅黑" w:eastAsia="微软雅黑" w:cs="微软雅黑"/>
              </w:rPr>
              <w:t>大客户销售，市场推广，技术支持等</w:t>
            </w:r>
          </w:p>
        </w:tc>
        <w:tc>
          <w:tcPr>
            <w:tcW w:w="2523" w:type="dxa"/>
            <w:vMerge w:val="restart"/>
            <w:tcBorders>
              <w:top w:val="single" w:color="auto" w:sz="4" w:space="0"/>
              <w:left w:val="single" w:color="auto" w:sz="4" w:space="0"/>
              <w:bottom w:val="single" w:color="auto" w:sz="4" w:space="0"/>
              <w:right w:val="single" w:color="auto" w:sz="4" w:space="0"/>
            </w:tcBorders>
            <w:vAlign w:val="center"/>
          </w:tcPr>
          <w:p w14:paraId="087287A7">
            <w:pPr>
              <w:widowControl/>
              <w:spacing w:line="360" w:lineRule="exact"/>
              <w:jc w:val="center"/>
              <w:textAlignment w:val="center"/>
              <w:rPr>
                <w:rFonts w:hint="eastAsia" w:ascii="微软雅黑" w:hAnsi="微软雅黑" w:eastAsia="微软雅黑" w:cs="微软雅黑"/>
                <w:color w:val="000000"/>
                <w:sz w:val="20"/>
                <w:szCs w:val="20"/>
              </w:rPr>
            </w:pPr>
            <w:r>
              <w:rPr>
                <w:rStyle w:val="7"/>
                <w:rFonts w:ascii="微软雅黑" w:hAnsi="微软雅黑" w:eastAsia="微软雅黑" w:cs="微软雅黑"/>
                <w:lang w:bidi="ar"/>
              </w:rPr>
              <w:t>机电一体化、电气工程</w:t>
            </w:r>
            <w:r>
              <w:rPr>
                <w:rStyle w:val="7"/>
                <w:rFonts w:hint="eastAsia" w:ascii="微软雅黑" w:hAnsi="微软雅黑" w:eastAsia="微软雅黑" w:cs="微软雅黑"/>
                <w:lang w:val="en-US" w:eastAsia="zh-CN" w:bidi="ar"/>
              </w:rPr>
              <w:t>及其自动化、能源与动力工程、新能源科学与工程、电子信息、通信、</w:t>
            </w:r>
            <w:r>
              <w:rPr>
                <w:rStyle w:val="7"/>
                <w:rFonts w:ascii="微软雅黑" w:hAnsi="微软雅黑" w:eastAsia="微软雅黑" w:cs="微软雅黑"/>
                <w:lang w:bidi="ar"/>
              </w:rPr>
              <w:t>土木工程、工民建、工程管理等</w:t>
            </w:r>
            <w:bookmarkStart w:id="1" w:name="_GoBack"/>
            <w:bookmarkEnd w:id="1"/>
            <w:r>
              <w:rPr>
                <w:rStyle w:val="7"/>
                <w:rFonts w:ascii="微软雅黑" w:hAnsi="微软雅黑" w:eastAsia="微软雅黑" w:cs="微软雅黑"/>
                <w:lang w:bidi="ar"/>
              </w:rPr>
              <w:t>相关专业</w:t>
            </w:r>
          </w:p>
        </w:tc>
        <w:tc>
          <w:tcPr>
            <w:tcW w:w="1499" w:type="dxa"/>
            <w:vMerge w:val="restart"/>
            <w:tcBorders>
              <w:top w:val="single" w:color="auto" w:sz="4" w:space="0"/>
              <w:left w:val="single" w:color="auto" w:sz="4" w:space="0"/>
              <w:right w:val="single" w:color="auto" w:sz="4" w:space="0"/>
            </w:tcBorders>
            <w:vAlign w:val="center"/>
          </w:tcPr>
          <w:p w14:paraId="0AE12E15">
            <w:pPr>
              <w:spacing w:line="360" w:lineRule="exact"/>
              <w:jc w:val="center"/>
              <w:textAlignment w:val="center"/>
              <w:rPr>
                <w:rStyle w:val="7"/>
                <w:rFonts w:hint="default" w:ascii="微软雅黑" w:hAnsi="微软雅黑" w:eastAsia="微软雅黑" w:cs="微软雅黑"/>
                <w:lang w:bidi="ar"/>
              </w:rPr>
            </w:pPr>
            <w:r>
              <w:rPr>
                <w:rStyle w:val="7"/>
                <w:rFonts w:ascii="微软雅黑" w:hAnsi="微软雅黑" w:eastAsia="微软雅黑" w:cs="微软雅黑"/>
                <w:lang w:bidi="ar"/>
              </w:rPr>
              <w:t>岗位及工作地点需接受公司统一调配</w:t>
            </w:r>
          </w:p>
        </w:tc>
      </w:tr>
      <w:tr w14:paraId="4AA021AA">
        <w:tblPrEx>
          <w:tblCellMar>
            <w:top w:w="0" w:type="dxa"/>
            <w:left w:w="108" w:type="dxa"/>
            <w:bottom w:w="0" w:type="dxa"/>
            <w:right w:w="108" w:type="dxa"/>
          </w:tblCellMar>
        </w:tblPrEx>
        <w:trPr>
          <w:trHeight w:val="705" w:hRule="atLeast"/>
        </w:trPr>
        <w:tc>
          <w:tcPr>
            <w:tcW w:w="1920" w:type="dxa"/>
            <w:vMerge w:val="continue"/>
            <w:tcBorders>
              <w:top w:val="single" w:color="auto" w:sz="4" w:space="0"/>
              <w:left w:val="single" w:color="auto" w:sz="4" w:space="0"/>
              <w:bottom w:val="single" w:color="auto" w:sz="4" w:space="0"/>
              <w:right w:val="single" w:color="auto" w:sz="4" w:space="0"/>
            </w:tcBorders>
            <w:vAlign w:val="center"/>
          </w:tcPr>
          <w:p w14:paraId="71EBBA68">
            <w:pPr>
              <w:widowControl/>
              <w:spacing w:line="360" w:lineRule="exact"/>
              <w:jc w:val="center"/>
              <w:textAlignment w:val="center"/>
              <w:rPr>
                <w:rFonts w:hint="eastAsia" w:ascii="微软雅黑" w:hAnsi="微软雅黑" w:eastAsia="微软雅黑" w:cs="微软雅黑"/>
                <w:b/>
                <w:bCs/>
                <w:color w:val="000000"/>
                <w:kern w:val="0"/>
                <w:sz w:val="20"/>
                <w:szCs w:val="20"/>
                <w:lang w:bidi="ar"/>
              </w:rPr>
            </w:pPr>
          </w:p>
        </w:tc>
        <w:tc>
          <w:tcPr>
            <w:tcW w:w="1322" w:type="dxa"/>
            <w:tcBorders>
              <w:top w:val="single" w:color="auto" w:sz="4" w:space="0"/>
              <w:left w:val="single" w:color="auto" w:sz="4" w:space="0"/>
              <w:bottom w:val="single" w:color="auto" w:sz="4" w:space="0"/>
              <w:right w:val="single" w:color="auto" w:sz="4" w:space="0"/>
            </w:tcBorders>
            <w:vAlign w:val="center"/>
          </w:tcPr>
          <w:p w14:paraId="62B429A2">
            <w:pPr>
              <w:widowControl/>
              <w:spacing w:line="360" w:lineRule="exact"/>
              <w:jc w:val="center"/>
              <w:textAlignment w:val="center"/>
              <w:rPr>
                <w:rFonts w:hint="eastAsia" w:ascii="微软雅黑" w:hAnsi="微软雅黑" w:eastAsia="微软雅黑" w:cs="微软雅黑"/>
                <w:b/>
                <w:bCs/>
                <w:color w:val="000000"/>
                <w:kern w:val="0"/>
                <w:sz w:val="20"/>
                <w:szCs w:val="20"/>
                <w:lang w:bidi="ar"/>
              </w:rPr>
            </w:pPr>
            <w:r>
              <w:rPr>
                <w:rFonts w:hint="eastAsia" w:ascii="微软雅黑" w:hAnsi="微软雅黑" w:eastAsia="微软雅黑" w:cs="微软雅黑"/>
                <w:b/>
                <w:bCs/>
                <w:color w:val="000000"/>
                <w:kern w:val="0"/>
                <w:sz w:val="20"/>
                <w:szCs w:val="20"/>
                <w:lang w:bidi="ar"/>
              </w:rPr>
              <w:t>运营特种兵</w:t>
            </w:r>
          </w:p>
        </w:tc>
        <w:tc>
          <w:tcPr>
            <w:tcW w:w="2039" w:type="dxa"/>
            <w:tcBorders>
              <w:top w:val="single" w:color="000000" w:sz="4" w:space="0"/>
              <w:left w:val="single" w:color="auto" w:sz="4" w:space="0"/>
              <w:bottom w:val="single" w:color="000000" w:sz="4" w:space="0"/>
              <w:right w:val="single" w:color="auto" w:sz="4" w:space="0"/>
            </w:tcBorders>
            <w:vAlign w:val="center"/>
          </w:tcPr>
          <w:p w14:paraId="06A137AB">
            <w:pPr>
              <w:widowControl/>
              <w:spacing w:line="360" w:lineRule="exact"/>
              <w:jc w:val="center"/>
              <w:textAlignment w:val="center"/>
              <w:rPr>
                <w:rFonts w:hint="eastAsia" w:ascii="微软雅黑" w:hAnsi="微软雅黑" w:eastAsia="微软雅黑" w:cs="微软雅黑"/>
              </w:rPr>
            </w:pPr>
            <w:r>
              <w:rPr>
                <w:rFonts w:hint="eastAsia" w:ascii="微软雅黑" w:hAnsi="微软雅黑" w:eastAsia="微软雅黑" w:cs="微软雅黑"/>
              </w:rPr>
              <w:t>设计，项目管理，</w:t>
            </w:r>
            <w:r>
              <w:rPr>
                <w:rFonts w:hint="eastAsia" w:ascii="微软雅黑" w:hAnsi="微软雅黑" w:eastAsia="微软雅黑" w:cs="微软雅黑"/>
                <w:lang w:val="en-US" w:eastAsia="zh-CN"/>
              </w:rPr>
              <w:t>软硬件开发、</w:t>
            </w:r>
            <w:r>
              <w:rPr>
                <w:rFonts w:hint="eastAsia" w:ascii="微软雅黑" w:hAnsi="微软雅黑" w:eastAsia="微软雅黑" w:cs="微软雅黑"/>
              </w:rPr>
              <w:t>商务、预算、采购等</w:t>
            </w:r>
          </w:p>
        </w:tc>
        <w:tc>
          <w:tcPr>
            <w:tcW w:w="2523" w:type="dxa"/>
            <w:vMerge w:val="continue"/>
            <w:tcBorders>
              <w:top w:val="single" w:color="auto" w:sz="4" w:space="0"/>
              <w:left w:val="single" w:color="auto" w:sz="4" w:space="0"/>
              <w:bottom w:val="single" w:color="auto" w:sz="4" w:space="0"/>
              <w:right w:val="single" w:color="auto" w:sz="4" w:space="0"/>
            </w:tcBorders>
            <w:vAlign w:val="center"/>
          </w:tcPr>
          <w:p w14:paraId="6E5E2ADB">
            <w:pPr>
              <w:widowControl/>
              <w:spacing w:line="360" w:lineRule="exact"/>
              <w:jc w:val="center"/>
              <w:textAlignment w:val="center"/>
              <w:rPr>
                <w:rStyle w:val="7"/>
                <w:rFonts w:hint="default" w:ascii="微软雅黑" w:hAnsi="微软雅黑" w:eastAsia="微软雅黑" w:cs="微软雅黑"/>
                <w:lang w:bidi="ar"/>
              </w:rPr>
            </w:pPr>
          </w:p>
        </w:tc>
        <w:tc>
          <w:tcPr>
            <w:tcW w:w="1499" w:type="dxa"/>
            <w:vMerge w:val="continue"/>
            <w:tcBorders>
              <w:left w:val="single" w:color="auto" w:sz="4" w:space="0"/>
              <w:right w:val="single" w:color="auto" w:sz="4" w:space="0"/>
            </w:tcBorders>
            <w:vAlign w:val="center"/>
          </w:tcPr>
          <w:p w14:paraId="79C3DA4E">
            <w:pPr>
              <w:spacing w:line="360" w:lineRule="exact"/>
              <w:jc w:val="center"/>
              <w:textAlignment w:val="center"/>
              <w:rPr>
                <w:rStyle w:val="7"/>
                <w:rFonts w:hint="default" w:ascii="微软雅黑" w:hAnsi="微软雅黑" w:eastAsia="微软雅黑" w:cs="微软雅黑"/>
                <w:lang w:bidi="ar"/>
              </w:rPr>
            </w:pPr>
          </w:p>
        </w:tc>
      </w:tr>
      <w:tr w14:paraId="4BD0B515">
        <w:tblPrEx>
          <w:tblCellMar>
            <w:top w:w="0" w:type="dxa"/>
            <w:left w:w="108" w:type="dxa"/>
            <w:bottom w:w="0" w:type="dxa"/>
            <w:right w:w="108" w:type="dxa"/>
          </w:tblCellMar>
        </w:tblPrEx>
        <w:trPr>
          <w:trHeight w:val="705" w:hRule="atLeast"/>
        </w:trPr>
        <w:tc>
          <w:tcPr>
            <w:tcW w:w="1920" w:type="dxa"/>
            <w:vMerge w:val="continue"/>
            <w:tcBorders>
              <w:top w:val="single" w:color="auto" w:sz="4" w:space="0"/>
              <w:left w:val="single" w:color="auto" w:sz="4" w:space="0"/>
              <w:bottom w:val="single" w:color="auto" w:sz="4" w:space="0"/>
              <w:right w:val="single" w:color="auto" w:sz="4" w:space="0"/>
            </w:tcBorders>
            <w:vAlign w:val="center"/>
          </w:tcPr>
          <w:p w14:paraId="29FCF818">
            <w:pPr>
              <w:widowControl/>
              <w:spacing w:line="360" w:lineRule="exact"/>
              <w:jc w:val="center"/>
              <w:textAlignment w:val="center"/>
              <w:rPr>
                <w:rFonts w:hint="eastAsia" w:ascii="微软雅黑" w:hAnsi="微软雅黑" w:eastAsia="微软雅黑" w:cs="微软雅黑"/>
                <w:b/>
                <w:bCs/>
                <w:color w:val="000000"/>
                <w:kern w:val="0"/>
                <w:sz w:val="20"/>
                <w:szCs w:val="20"/>
                <w:lang w:bidi="ar"/>
              </w:rPr>
            </w:pPr>
          </w:p>
        </w:tc>
        <w:tc>
          <w:tcPr>
            <w:tcW w:w="1322" w:type="dxa"/>
            <w:tcBorders>
              <w:top w:val="single" w:color="auto" w:sz="4" w:space="0"/>
              <w:left w:val="single" w:color="auto" w:sz="4" w:space="0"/>
              <w:bottom w:val="single" w:color="auto" w:sz="4" w:space="0"/>
              <w:right w:val="single" w:color="auto" w:sz="4" w:space="0"/>
            </w:tcBorders>
            <w:vAlign w:val="center"/>
          </w:tcPr>
          <w:p w14:paraId="2F9161FA">
            <w:pPr>
              <w:widowControl/>
              <w:spacing w:line="360" w:lineRule="exact"/>
              <w:jc w:val="center"/>
              <w:textAlignment w:val="center"/>
              <w:rPr>
                <w:rFonts w:hint="eastAsia" w:ascii="微软雅黑" w:hAnsi="微软雅黑" w:eastAsia="微软雅黑" w:cs="微软雅黑"/>
                <w:b/>
                <w:bCs/>
                <w:color w:val="000000"/>
                <w:kern w:val="0"/>
                <w:sz w:val="20"/>
                <w:szCs w:val="20"/>
                <w:lang w:bidi="ar"/>
              </w:rPr>
            </w:pPr>
            <w:r>
              <w:rPr>
                <w:rFonts w:hint="eastAsia" w:ascii="微软雅黑" w:hAnsi="微软雅黑" w:eastAsia="微软雅黑" w:cs="微软雅黑"/>
                <w:b/>
                <w:bCs/>
                <w:color w:val="000000"/>
                <w:kern w:val="0"/>
                <w:sz w:val="20"/>
                <w:szCs w:val="20"/>
                <w:lang w:bidi="ar"/>
              </w:rPr>
              <w:t>职能特种兵</w:t>
            </w:r>
          </w:p>
        </w:tc>
        <w:tc>
          <w:tcPr>
            <w:tcW w:w="2039" w:type="dxa"/>
            <w:tcBorders>
              <w:top w:val="single" w:color="000000" w:sz="4" w:space="0"/>
              <w:left w:val="single" w:color="auto" w:sz="4" w:space="0"/>
              <w:bottom w:val="single" w:color="000000" w:sz="4" w:space="0"/>
              <w:right w:val="single" w:color="auto" w:sz="4" w:space="0"/>
            </w:tcBorders>
            <w:vAlign w:val="center"/>
          </w:tcPr>
          <w:p w14:paraId="28D20AD5">
            <w:pPr>
              <w:widowControl/>
              <w:spacing w:line="360" w:lineRule="exact"/>
              <w:jc w:val="center"/>
              <w:textAlignment w:val="center"/>
              <w:rPr>
                <w:rFonts w:hint="eastAsia" w:ascii="微软雅黑" w:hAnsi="微软雅黑" w:eastAsia="微软雅黑" w:cs="微软雅黑"/>
              </w:rPr>
            </w:pPr>
            <w:r>
              <w:rPr>
                <w:rFonts w:hint="eastAsia" w:ascii="微软雅黑" w:hAnsi="微软雅黑" w:eastAsia="微软雅黑" w:cs="微软雅黑"/>
              </w:rPr>
              <w:t>人力，财务，法务等</w:t>
            </w:r>
          </w:p>
        </w:tc>
        <w:tc>
          <w:tcPr>
            <w:tcW w:w="2523" w:type="dxa"/>
            <w:tcBorders>
              <w:top w:val="single" w:color="auto" w:sz="4" w:space="0"/>
              <w:left w:val="single" w:color="auto" w:sz="4" w:space="0"/>
              <w:bottom w:val="single" w:color="auto" w:sz="4" w:space="0"/>
              <w:right w:val="single" w:color="auto" w:sz="4" w:space="0"/>
            </w:tcBorders>
            <w:vAlign w:val="center"/>
          </w:tcPr>
          <w:p w14:paraId="233E2721">
            <w:pPr>
              <w:widowControl/>
              <w:spacing w:line="360" w:lineRule="exact"/>
              <w:jc w:val="center"/>
              <w:textAlignment w:val="center"/>
              <w:rPr>
                <w:rStyle w:val="7"/>
                <w:rFonts w:hint="default" w:ascii="微软雅黑" w:hAnsi="微软雅黑" w:eastAsia="微软雅黑" w:cs="微软雅黑"/>
                <w:lang w:bidi="ar"/>
              </w:rPr>
            </w:pPr>
            <w:r>
              <w:rPr>
                <w:rStyle w:val="7"/>
                <w:rFonts w:ascii="微软雅黑" w:hAnsi="微软雅黑" w:eastAsia="微软雅黑" w:cs="微软雅黑"/>
                <w:lang w:bidi="ar"/>
              </w:rPr>
              <w:t>人力资源管理、财务管理、会计学、法学等相关专业</w:t>
            </w:r>
          </w:p>
        </w:tc>
        <w:tc>
          <w:tcPr>
            <w:tcW w:w="1499" w:type="dxa"/>
            <w:vMerge w:val="continue"/>
            <w:tcBorders>
              <w:left w:val="single" w:color="auto" w:sz="4" w:space="0"/>
              <w:bottom w:val="single" w:color="auto" w:sz="4" w:space="0"/>
              <w:right w:val="single" w:color="auto" w:sz="4" w:space="0"/>
            </w:tcBorders>
            <w:vAlign w:val="center"/>
          </w:tcPr>
          <w:p w14:paraId="28707E9B">
            <w:pPr>
              <w:spacing w:line="360" w:lineRule="exact"/>
              <w:jc w:val="center"/>
              <w:textAlignment w:val="center"/>
              <w:rPr>
                <w:rStyle w:val="7"/>
                <w:rFonts w:hint="default" w:ascii="微软雅黑" w:hAnsi="微软雅黑" w:eastAsia="微软雅黑" w:cs="微软雅黑"/>
                <w:lang w:bidi="ar"/>
              </w:rPr>
            </w:pPr>
          </w:p>
        </w:tc>
      </w:tr>
      <w:tr w14:paraId="10C59A18">
        <w:tblPrEx>
          <w:tblCellMar>
            <w:top w:w="0" w:type="dxa"/>
            <w:left w:w="108" w:type="dxa"/>
            <w:bottom w:w="0" w:type="dxa"/>
            <w:right w:w="108" w:type="dxa"/>
          </w:tblCellMar>
        </w:tblPrEx>
        <w:trPr>
          <w:trHeight w:val="970" w:hRule="atLeast"/>
        </w:trPr>
        <w:tc>
          <w:tcPr>
            <w:tcW w:w="1920" w:type="dxa"/>
            <w:tcBorders>
              <w:top w:val="single" w:color="auto" w:sz="4" w:space="0"/>
              <w:left w:val="single" w:color="auto" w:sz="4" w:space="0"/>
              <w:bottom w:val="single" w:color="auto" w:sz="4" w:space="0"/>
              <w:right w:val="single" w:color="auto" w:sz="4" w:space="0"/>
            </w:tcBorders>
            <w:vAlign w:val="center"/>
          </w:tcPr>
          <w:p w14:paraId="55487F15">
            <w:pPr>
              <w:spacing w:line="360" w:lineRule="exact"/>
              <w:jc w:val="center"/>
              <w:textAlignment w:val="center"/>
              <w:rPr>
                <w:rStyle w:val="7"/>
                <w:rFonts w:hint="default" w:ascii="微软雅黑" w:hAnsi="微软雅黑" w:eastAsia="微软雅黑" w:cs="微软雅黑"/>
                <w:lang w:bidi="ar"/>
              </w:rPr>
            </w:pPr>
            <w:r>
              <w:rPr>
                <w:rFonts w:hint="eastAsia" w:ascii="微软雅黑" w:hAnsi="微软雅黑" w:eastAsia="微软雅黑" w:cs="微软雅黑"/>
                <w:b/>
                <w:bCs/>
                <w:color w:val="000000"/>
                <w:kern w:val="0"/>
                <w:sz w:val="24"/>
                <w:lang w:bidi="ar"/>
              </w:rPr>
              <w:t>招聘范围</w:t>
            </w:r>
          </w:p>
        </w:tc>
        <w:tc>
          <w:tcPr>
            <w:tcW w:w="7383" w:type="dxa"/>
            <w:gridSpan w:val="4"/>
            <w:tcBorders>
              <w:top w:val="single" w:color="auto" w:sz="4" w:space="0"/>
              <w:left w:val="single" w:color="auto" w:sz="4" w:space="0"/>
              <w:bottom w:val="single" w:color="auto" w:sz="4" w:space="0"/>
              <w:right w:val="single" w:color="auto" w:sz="4" w:space="0"/>
            </w:tcBorders>
            <w:vAlign w:val="center"/>
          </w:tcPr>
          <w:p w14:paraId="22956A68">
            <w:pPr>
              <w:spacing w:line="360" w:lineRule="exact"/>
              <w:rPr>
                <w:rStyle w:val="7"/>
                <w:rFonts w:hint="default" w:ascii="微软雅黑" w:hAnsi="微软雅黑" w:eastAsia="微软雅黑" w:cs="微软雅黑"/>
                <w:lang w:bidi="ar"/>
              </w:rPr>
            </w:pPr>
            <w:r>
              <w:rPr>
                <w:rFonts w:hint="eastAsia" w:ascii="微软雅黑" w:hAnsi="微软雅黑" w:eastAsia="微软雅黑" w:cs="微软雅黑"/>
              </w:rPr>
              <w:t>202</w:t>
            </w:r>
            <w:r>
              <w:rPr>
                <w:rFonts w:hint="eastAsia" w:ascii="微软雅黑" w:hAnsi="微软雅黑" w:eastAsia="微软雅黑" w:cs="微软雅黑"/>
                <w:lang w:val="en-US" w:eastAsia="zh-CN"/>
              </w:rPr>
              <w:t>5</w:t>
            </w:r>
            <w:r>
              <w:rPr>
                <w:rFonts w:hint="eastAsia" w:ascii="微软雅黑" w:hAnsi="微软雅黑" w:eastAsia="微软雅黑" w:cs="微软雅黑"/>
              </w:rPr>
              <w:t>年</w:t>
            </w:r>
            <w:r>
              <w:rPr>
                <w:rFonts w:hint="eastAsia" w:ascii="微软雅黑" w:hAnsi="微软雅黑" w:eastAsia="微软雅黑" w:cs="微软雅黑"/>
                <w:lang w:val="en-US" w:eastAsia="zh-CN"/>
              </w:rPr>
              <w:t>9</w:t>
            </w:r>
            <w:r>
              <w:rPr>
                <w:rFonts w:hint="eastAsia" w:ascii="微软雅黑" w:hAnsi="微软雅黑" w:eastAsia="微软雅黑" w:cs="微软雅黑"/>
              </w:rPr>
              <w:t>月至202</w:t>
            </w:r>
            <w:r>
              <w:rPr>
                <w:rFonts w:hint="eastAsia" w:ascii="微软雅黑" w:hAnsi="微软雅黑" w:eastAsia="微软雅黑" w:cs="微软雅黑"/>
                <w:lang w:val="en-US" w:eastAsia="zh-CN"/>
              </w:rPr>
              <w:t>6</w:t>
            </w:r>
            <w:r>
              <w:rPr>
                <w:rFonts w:hint="eastAsia" w:ascii="微软雅黑" w:hAnsi="微软雅黑" w:eastAsia="微软雅黑" w:cs="微软雅黑"/>
              </w:rPr>
              <w:t>年</w:t>
            </w:r>
            <w:r>
              <w:rPr>
                <w:rFonts w:hint="eastAsia" w:ascii="微软雅黑" w:hAnsi="微软雅黑" w:eastAsia="微软雅黑" w:cs="微软雅黑"/>
                <w:lang w:val="en-US" w:eastAsia="zh-CN"/>
              </w:rPr>
              <w:t>7</w:t>
            </w:r>
            <w:r>
              <w:rPr>
                <w:rFonts w:hint="eastAsia" w:ascii="微软雅黑" w:hAnsi="微软雅黑" w:eastAsia="微软雅黑" w:cs="微软雅黑"/>
              </w:rPr>
              <w:t>月期间毕业</w:t>
            </w:r>
            <w:r>
              <w:rPr>
                <w:rFonts w:hint="eastAsia" w:ascii="微软雅黑" w:hAnsi="微软雅黑" w:eastAsia="微软雅黑" w:cs="微软雅黑"/>
                <w:lang w:eastAsia="zh-CN"/>
              </w:rPr>
              <w:t>的</w:t>
            </w:r>
            <w:r>
              <w:rPr>
                <w:rFonts w:hint="eastAsia" w:ascii="微软雅黑" w:hAnsi="微软雅黑" w:eastAsia="微软雅黑" w:cs="微软雅黑"/>
              </w:rPr>
              <w:t>应届本科毕业生，硕士毕业生，海外留学毕业生。</w:t>
            </w:r>
          </w:p>
        </w:tc>
      </w:tr>
    </w:tbl>
    <w:p w14:paraId="19DEAEA1"/>
    <w:p w14:paraId="2A653846">
      <w:pPr>
        <w:rPr>
          <w:rFonts w:hint="eastAsia"/>
          <w:vanish/>
        </w:rPr>
      </w:pPr>
    </w:p>
    <w:tbl>
      <w:tblPr>
        <w:tblStyle w:val="4"/>
        <w:tblpPr w:leftFromText="181" w:rightFromText="181" w:vertAnchor="text" w:horzAnchor="page" w:tblpX="1395" w:tblpY="937"/>
        <w:tblW w:w="9418" w:type="dxa"/>
        <w:tblInd w:w="0" w:type="dxa"/>
        <w:tblLayout w:type="fixed"/>
        <w:tblCellMar>
          <w:top w:w="0" w:type="dxa"/>
          <w:left w:w="108" w:type="dxa"/>
          <w:bottom w:w="0" w:type="dxa"/>
          <w:right w:w="108" w:type="dxa"/>
        </w:tblCellMar>
      </w:tblPr>
      <w:tblGrid>
        <w:gridCol w:w="1245"/>
        <w:gridCol w:w="8173"/>
      </w:tblGrid>
      <w:tr w14:paraId="28119B13">
        <w:tblPrEx>
          <w:tblCellMar>
            <w:top w:w="0" w:type="dxa"/>
            <w:left w:w="108" w:type="dxa"/>
            <w:bottom w:w="0" w:type="dxa"/>
            <w:right w:w="108" w:type="dxa"/>
          </w:tblCellMar>
        </w:tblPrEx>
        <w:trPr>
          <w:trHeight w:val="620" w:hRule="atLeast"/>
        </w:trPr>
        <w:tc>
          <w:tcPr>
            <w:tcW w:w="9418" w:type="dxa"/>
            <w:gridSpan w:val="2"/>
            <w:tcBorders>
              <w:top w:val="single" w:color="000000" w:sz="4" w:space="0"/>
              <w:left w:val="single" w:color="000000" w:sz="4" w:space="0"/>
              <w:bottom w:val="single" w:color="000000" w:sz="4" w:space="0"/>
              <w:right w:val="single" w:color="000000" w:sz="4" w:space="0"/>
            </w:tcBorders>
            <w:shd w:val="clear" w:color="auto" w:fill="9CC2E5"/>
            <w:noWrap/>
            <w:vAlign w:val="center"/>
          </w:tcPr>
          <w:p w14:paraId="54A2AE32">
            <w:pPr>
              <w:widowControl/>
              <w:jc w:val="center"/>
              <w:textAlignment w:val="center"/>
              <w:rPr>
                <w:rFonts w:hint="eastAsia" w:ascii="微软雅黑" w:hAnsi="微软雅黑" w:eastAsia="微软雅黑" w:cs="微软雅黑"/>
                <w:b/>
                <w:bCs/>
                <w:color w:val="000000"/>
                <w:sz w:val="28"/>
                <w:szCs w:val="28"/>
              </w:rPr>
            </w:pPr>
            <w:r>
              <w:rPr>
                <w:rFonts w:hint="eastAsia" w:ascii="微软雅黑" w:hAnsi="微软雅黑" w:eastAsia="微软雅黑" w:cs="微软雅黑"/>
                <w:b/>
                <w:bCs/>
                <w:color w:val="000000"/>
                <w:kern w:val="0"/>
                <w:sz w:val="28"/>
                <w:szCs w:val="28"/>
                <w:lang w:bidi="ar"/>
              </w:rPr>
              <w:t>福利待遇</w:t>
            </w:r>
          </w:p>
        </w:tc>
      </w:tr>
      <w:tr w14:paraId="002F6431">
        <w:tblPrEx>
          <w:tblCellMar>
            <w:top w:w="0" w:type="dxa"/>
            <w:left w:w="108" w:type="dxa"/>
            <w:bottom w:w="0" w:type="dxa"/>
            <w:right w:w="108" w:type="dxa"/>
          </w:tblCellMar>
        </w:tblPrEx>
        <w:trPr>
          <w:trHeight w:val="599" w:hRule="atLeast"/>
        </w:trPr>
        <w:tc>
          <w:tcPr>
            <w:tcW w:w="1245" w:type="dxa"/>
            <w:tcBorders>
              <w:top w:val="single" w:color="000000" w:sz="4" w:space="0"/>
              <w:left w:val="single" w:color="000000" w:sz="4" w:space="0"/>
              <w:bottom w:val="single" w:color="000000" w:sz="4" w:space="0"/>
              <w:right w:val="single" w:color="000000" w:sz="4" w:space="0"/>
            </w:tcBorders>
            <w:shd w:val="clear" w:color="auto" w:fill="9BC2E6"/>
            <w:noWrap/>
            <w:vAlign w:val="center"/>
          </w:tcPr>
          <w:p w14:paraId="123049E6">
            <w:pPr>
              <w:widowControl/>
              <w:jc w:val="center"/>
              <w:textAlignment w:val="center"/>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kern w:val="0"/>
                <w:sz w:val="21"/>
                <w:szCs w:val="21"/>
                <w:lang w:bidi="ar"/>
              </w:rPr>
              <w:t>六险一金</w:t>
            </w:r>
          </w:p>
        </w:tc>
        <w:tc>
          <w:tcPr>
            <w:tcW w:w="8173" w:type="dxa"/>
            <w:tcBorders>
              <w:top w:val="single" w:color="000000" w:sz="4" w:space="0"/>
              <w:left w:val="single" w:color="000000" w:sz="4" w:space="0"/>
              <w:bottom w:val="single" w:color="000000" w:sz="4" w:space="0"/>
              <w:right w:val="single" w:color="000000" w:sz="4" w:space="0"/>
            </w:tcBorders>
            <w:noWrap/>
            <w:vAlign w:val="center"/>
          </w:tcPr>
          <w:p w14:paraId="5565764D">
            <w:pPr>
              <w:widowControl/>
              <w:jc w:val="left"/>
              <w:textAlignment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kern w:val="0"/>
                <w:sz w:val="21"/>
                <w:szCs w:val="21"/>
                <w:lang w:bidi="ar"/>
              </w:rPr>
              <w:t>养老保险、医疗保险、工伤保险、生育保险、失业保险、意外保险、住房公积金</w:t>
            </w:r>
          </w:p>
        </w:tc>
      </w:tr>
      <w:tr w14:paraId="3A3DE32D">
        <w:tblPrEx>
          <w:tblCellMar>
            <w:top w:w="0" w:type="dxa"/>
            <w:left w:w="108" w:type="dxa"/>
            <w:bottom w:w="0" w:type="dxa"/>
            <w:right w:w="108" w:type="dxa"/>
          </w:tblCellMar>
        </w:tblPrEx>
        <w:trPr>
          <w:trHeight w:val="599" w:hRule="atLeast"/>
        </w:trPr>
        <w:tc>
          <w:tcPr>
            <w:tcW w:w="1245" w:type="dxa"/>
            <w:vMerge w:val="restart"/>
            <w:tcBorders>
              <w:top w:val="single" w:color="000000" w:sz="4" w:space="0"/>
              <w:left w:val="single" w:color="000000" w:sz="4" w:space="0"/>
              <w:right w:val="single" w:color="000000" w:sz="4" w:space="0"/>
            </w:tcBorders>
            <w:shd w:val="clear" w:color="auto" w:fill="9BC2E6"/>
            <w:noWrap/>
            <w:vAlign w:val="center"/>
          </w:tcPr>
          <w:p w14:paraId="2E387873">
            <w:pPr>
              <w:widowControl/>
              <w:jc w:val="center"/>
              <w:textAlignment w:val="center"/>
              <w:rPr>
                <w:rFonts w:hint="eastAsia" w:ascii="微软雅黑" w:hAnsi="微软雅黑" w:eastAsia="微软雅黑" w:cs="微软雅黑"/>
                <w:b/>
                <w:bCs/>
                <w:color w:val="000000"/>
                <w:kern w:val="0"/>
                <w:sz w:val="21"/>
                <w:szCs w:val="21"/>
                <w:lang w:bidi="ar"/>
              </w:rPr>
            </w:pPr>
            <w:r>
              <w:rPr>
                <w:rFonts w:hint="eastAsia" w:ascii="微软雅黑" w:hAnsi="微软雅黑" w:eastAsia="微软雅黑" w:cs="微软雅黑"/>
                <w:b/>
                <w:bCs/>
                <w:color w:val="000000"/>
                <w:kern w:val="0"/>
                <w:sz w:val="21"/>
                <w:szCs w:val="21"/>
                <w:lang w:bidi="ar"/>
              </w:rPr>
              <w:t>薪酬福利</w:t>
            </w:r>
          </w:p>
        </w:tc>
        <w:tc>
          <w:tcPr>
            <w:tcW w:w="8173" w:type="dxa"/>
            <w:tcBorders>
              <w:top w:val="single" w:color="000000" w:sz="4" w:space="0"/>
              <w:left w:val="single" w:color="000000" w:sz="4" w:space="0"/>
              <w:bottom w:val="single" w:color="000000" w:sz="4" w:space="0"/>
              <w:right w:val="single" w:color="000000" w:sz="4" w:space="0"/>
            </w:tcBorders>
            <w:noWrap/>
            <w:vAlign w:val="center"/>
          </w:tcPr>
          <w:p w14:paraId="04E8E93C">
            <w:pPr>
              <w:widowControl/>
              <w:jc w:val="left"/>
              <w:textAlignment w:val="center"/>
              <w:rPr>
                <w:rFonts w:hint="eastAsia" w:ascii="微软雅黑" w:hAnsi="微软雅黑" w:eastAsia="微软雅黑" w:cs="微软雅黑"/>
                <w:color w:val="FF0000"/>
                <w:kern w:val="0"/>
                <w:sz w:val="21"/>
                <w:szCs w:val="21"/>
                <w:lang w:bidi="ar"/>
              </w:rPr>
            </w:pPr>
            <w:r>
              <w:rPr>
                <w:rFonts w:hint="eastAsia" w:ascii="微软雅黑" w:hAnsi="微软雅黑" w:eastAsia="微软雅黑" w:cs="微软雅黑"/>
                <w:color w:val="FF0000"/>
                <w:kern w:val="0"/>
                <w:sz w:val="21"/>
                <w:szCs w:val="21"/>
                <w:lang w:bidi="ar"/>
              </w:rPr>
              <w:t>福利：出差补助、项目补助、通讯补助、过节费、年终奖、</w:t>
            </w:r>
            <w:r>
              <w:rPr>
                <w:rFonts w:hint="eastAsia" w:ascii="微软雅黑" w:hAnsi="微软雅黑" w:eastAsia="微软雅黑" w:cs="微软雅黑"/>
                <w:color w:val="FF0000"/>
                <w:kern w:val="0"/>
                <w:sz w:val="21"/>
                <w:szCs w:val="21"/>
                <w:lang w:val="en-US" w:eastAsia="zh-CN" w:bidi="ar"/>
              </w:rPr>
              <w:t>项目</w:t>
            </w:r>
            <w:r>
              <w:rPr>
                <w:rFonts w:hint="eastAsia" w:ascii="微软雅黑" w:hAnsi="微软雅黑" w:eastAsia="微软雅黑" w:cs="微软雅黑"/>
                <w:color w:val="FF0000"/>
                <w:kern w:val="0"/>
                <w:sz w:val="21"/>
                <w:szCs w:val="21"/>
                <w:lang w:bidi="ar"/>
              </w:rPr>
              <w:t>奖金等</w:t>
            </w:r>
          </w:p>
        </w:tc>
      </w:tr>
      <w:tr w14:paraId="54C77DDE">
        <w:tblPrEx>
          <w:tblCellMar>
            <w:top w:w="0" w:type="dxa"/>
            <w:left w:w="108" w:type="dxa"/>
            <w:bottom w:w="0" w:type="dxa"/>
            <w:right w:w="108" w:type="dxa"/>
          </w:tblCellMar>
        </w:tblPrEx>
        <w:trPr>
          <w:trHeight w:val="599" w:hRule="atLeast"/>
        </w:trPr>
        <w:tc>
          <w:tcPr>
            <w:tcW w:w="1245" w:type="dxa"/>
            <w:vMerge w:val="continue"/>
            <w:tcBorders>
              <w:left w:val="single" w:color="000000" w:sz="4" w:space="0"/>
              <w:right w:val="single" w:color="000000" w:sz="4" w:space="0"/>
            </w:tcBorders>
            <w:shd w:val="clear" w:color="auto" w:fill="9BC2E6"/>
            <w:noWrap/>
            <w:vAlign w:val="center"/>
          </w:tcPr>
          <w:p w14:paraId="14408B89">
            <w:pPr>
              <w:widowControl/>
              <w:jc w:val="center"/>
              <w:textAlignment w:val="center"/>
              <w:rPr>
                <w:rFonts w:hint="eastAsia" w:ascii="微软雅黑" w:hAnsi="微软雅黑" w:eastAsia="微软雅黑" w:cs="微软雅黑"/>
                <w:b/>
                <w:bCs/>
                <w:color w:val="000000"/>
                <w:kern w:val="0"/>
                <w:sz w:val="21"/>
                <w:szCs w:val="21"/>
                <w:lang w:bidi="ar"/>
              </w:rPr>
            </w:pPr>
          </w:p>
        </w:tc>
        <w:tc>
          <w:tcPr>
            <w:tcW w:w="8173" w:type="dxa"/>
            <w:tcBorders>
              <w:top w:val="single" w:color="000000" w:sz="4" w:space="0"/>
              <w:left w:val="single" w:color="000000" w:sz="4" w:space="0"/>
              <w:bottom w:val="single" w:color="000000" w:sz="4" w:space="0"/>
              <w:right w:val="single" w:color="000000" w:sz="4" w:space="0"/>
            </w:tcBorders>
            <w:noWrap/>
            <w:vAlign w:val="center"/>
          </w:tcPr>
          <w:p w14:paraId="5396BF3A">
            <w:pPr>
              <w:widowControl/>
              <w:jc w:val="left"/>
              <w:textAlignment w:val="center"/>
              <w:rPr>
                <w:rFonts w:hint="eastAsia" w:ascii="微软雅黑" w:hAnsi="微软雅黑" w:eastAsia="微软雅黑" w:cs="微软雅黑"/>
                <w:color w:val="FF0000"/>
                <w:kern w:val="0"/>
                <w:sz w:val="21"/>
                <w:szCs w:val="21"/>
                <w:lang w:bidi="ar"/>
              </w:rPr>
            </w:pPr>
            <w:r>
              <w:rPr>
                <w:rFonts w:hint="eastAsia" w:ascii="微软雅黑" w:hAnsi="微软雅黑" w:eastAsia="微软雅黑" w:cs="微软雅黑"/>
                <w:color w:val="FF0000"/>
                <w:kern w:val="0"/>
                <w:sz w:val="21"/>
                <w:szCs w:val="21"/>
                <w:lang w:val="en-US" w:eastAsia="zh-CN" w:bidi="ar"/>
              </w:rPr>
              <w:t>双一流应届毕业生</w:t>
            </w:r>
            <w:r>
              <w:rPr>
                <w:rFonts w:hint="eastAsia" w:ascii="微软雅黑" w:hAnsi="微软雅黑" w:eastAsia="微软雅黑" w:cs="微软雅黑"/>
                <w:color w:val="FF0000"/>
                <w:kern w:val="0"/>
                <w:sz w:val="21"/>
                <w:szCs w:val="21"/>
                <w:lang w:bidi="ar"/>
              </w:rPr>
              <w:t>（硕士及以上）经核准可申请北京户口</w:t>
            </w:r>
          </w:p>
        </w:tc>
      </w:tr>
      <w:tr w14:paraId="3DB59423">
        <w:tblPrEx>
          <w:tblCellMar>
            <w:top w:w="0" w:type="dxa"/>
            <w:left w:w="108" w:type="dxa"/>
            <w:bottom w:w="0" w:type="dxa"/>
            <w:right w:w="108" w:type="dxa"/>
          </w:tblCellMar>
        </w:tblPrEx>
        <w:trPr>
          <w:trHeight w:val="599" w:hRule="atLeast"/>
        </w:trPr>
        <w:tc>
          <w:tcPr>
            <w:tcW w:w="1245" w:type="dxa"/>
            <w:vMerge w:val="continue"/>
            <w:tcBorders>
              <w:left w:val="single" w:color="000000" w:sz="4" w:space="0"/>
              <w:bottom w:val="single" w:color="000000" w:sz="4" w:space="0"/>
              <w:right w:val="single" w:color="000000" w:sz="4" w:space="0"/>
            </w:tcBorders>
            <w:shd w:val="clear" w:color="auto" w:fill="9BC2E6"/>
            <w:noWrap/>
            <w:vAlign w:val="center"/>
          </w:tcPr>
          <w:p w14:paraId="2B899D51">
            <w:pPr>
              <w:widowControl/>
              <w:jc w:val="center"/>
              <w:textAlignment w:val="center"/>
              <w:rPr>
                <w:rFonts w:hint="eastAsia" w:ascii="微软雅黑" w:hAnsi="微软雅黑" w:eastAsia="微软雅黑" w:cs="微软雅黑"/>
                <w:b/>
                <w:bCs/>
                <w:color w:val="000000"/>
                <w:kern w:val="0"/>
                <w:sz w:val="21"/>
                <w:szCs w:val="21"/>
                <w:lang w:bidi="ar"/>
              </w:rPr>
            </w:pPr>
          </w:p>
        </w:tc>
        <w:tc>
          <w:tcPr>
            <w:tcW w:w="8173" w:type="dxa"/>
            <w:tcBorders>
              <w:top w:val="single" w:color="000000" w:sz="4" w:space="0"/>
              <w:left w:val="single" w:color="000000" w:sz="4" w:space="0"/>
              <w:bottom w:val="single" w:color="000000" w:sz="4" w:space="0"/>
              <w:right w:val="single" w:color="000000" w:sz="4" w:space="0"/>
            </w:tcBorders>
            <w:noWrap/>
            <w:vAlign w:val="center"/>
          </w:tcPr>
          <w:p w14:paraId="7DC9AE4B">
            <w:pPr>
              <w:widowControl/>
              <w:jc w:val="left"/>
              <w:textAlignment w:val="center"/>
              <w:rPr>
                <w:rFonts w:hint="eastAsia" w:ascii="微软雅黑" w:hAnsi="微软雅黑" w:eastAsia="微软雅黑" w:cs="微软雅黑"/>
                <w:color w:val="FF0000"/>
                <w:kern w:val="0"/>
                <w:sz w:val="21"/>
                <w:szCs w:val="21"/>
                <w:lang w:bidi="ar"/>
              </w:rPr>
            </w:pPr>
            <w:r>
              <w:rPr>
                <w:rFonts w:hint="eastAsia" w:ascii="微软雅黑" w:hAnsi="微软雅黑" w:eastAsia="微软雅黑" w:cs="微软雅黑"/>
                <w:color w:val="FF0000"/>
                <w:kern w:val="0"/>
                <w:sz w:val="21"/>
                <w:szCs w:val="21"/>
                <w:lang w:val="en-US" w:eastAsia="zh-CN" w:bidi="ar"/>
              </w:rPr>
              <w:t>双一流高校毕业生经审核符合北京人才引进政策的工作满1年给与人才补贴1-3万。</w:t>
            </w:r>
          </w:p>
        </w:tc>
      </w:tr>
      <w:tr w14:paraId="1BED94F6">
        <w:tblPrEx>
          <w:tblCellMar>
            <w:top w:w="0" w:type="dxa"/>
            <w:left w:w="108" w:type="dxa"/>
            <w:bottom w:w="0" w:type="dxa"/>
            <w:right w:w="108" w:type="dxa"/>
          </w:tblCellMar>
        </w:tblPrEx>
        <w:trPr>
          <w:trHeight w:val="625" w:hRule="atLeast"/>
        </w:trPr>
        <w:tc>
          <w:tcPr>
            <w:tcW w:w="1245" w:type="dxa"/>
            <w:vMerge w:val="restart"/>
            <w:tcBorders>
              <w:top w:val="single" w:color="000000" w:sz="4" w:space="0"/>
              <w:left w:val="single" w:color="000000" w:sz="4" w:space="0"/>
              <w:bottom w:val="single" w:color="000000" w:sz="4" w:space="0"/>
              <w:right w:val="single" w:color="000000" w:sz="4" w:space="0"/>
            </w:tcBorders>
            <w:shd w:val="clear" w:color="auto" w:fill="9BC2E6"/>
            <w:noWrap/>
            <w:vAlign w:val="center"/>
          </w:tcPr>
          <w:p w14:paraId="7A5D3ABE">
            <w:pPr>
              <w:widowControl/>
              <w:jc w:val="center"/>
              <w:textAlignment w:val="center"/>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kern w:val="0"/>
                <w:sz w:val="21"/>
                <w:szCs w:val="21"/>
                <w:lang w:bidi="ar"/>
              </w:rPr>
              <w:t>员工关爱</w:t>
            </w:r>
          </w:p>
        </w:tc>
        <w:tc>
          <w:tcPr>
            <w:tcW w:w="8173" w:type="dxa"/>
            <w:tcBorders>
              <w:top w:val="single" w:color="000000" w:sz="4" w:space="0"/>
              <w:left w:val="single" w:color="000000" w:sz="4" w:space="0"/>
              <w:bottom w:val="single" w:color="000000" w:sz="4" w:space="0"/>
              <w:right w:val="single" w:color="000000" w:sz="4" w:space="0"/>
            </w:tcBorders>
            <w:noWrap/>
            <w:vAlign w:val="center"/>
          </w:tcPr>
          <w:p w14:paraId="71944820">
            <w:pPr>
              <w:widowControl/>
              <w:jc w:val="left"/>
              <w:textAlignment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kern w:val="0"/>
                <w:sz w:val="21"/>
                <w:szCs w:val="21"/>
                <w:lang w:bidi="ar"/>
              </w:rPr>
              <w:t>免费食堂、宿舍、工作装、入职体检、法定休假、工务假期等</w:t>
            </w:r>
          </w:p>
        </w:tc>
      </w:tr>
      <w:tr w14:paraId="24ECEC7D">
        <w:tblPrEx>
          <w:tblCellMar>
            <w:top w:w="0" w:type="dxa"/>
            <w:left w:w="108" w:type="dxa"/>
            <w:bottom w:w="0" w:type="dxa"/>
            <w:right w:w="108" w:type="dxa"/>
          </w:tblCellMar>
        </w:tblPrEx>
        <w:trPr>
          <w:trHeight w:val="528" w:hRule="atLeast"/>
        </w:trPr>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9BC2E6"/>
            <w:noWrap/>
            <w:vAlign w:val="center"/>
          </w:tcPr>
          <w:p w14:paraId="44280D27">
            <w:pPr>
              <w:jc w:val="center"/>
              <w:rPr>
                <w:rFonts w:hint="eastAsia" w:ascii="微软雅黑" w:hAnsi="微软雅黑" w:eastAsia="微软雅黑" w:cs="微软雅黑"/>
                <w:b/>
                <w:bCs/>
                <w:color w:val="000000"/>
                <w:sz w:val="21"/>
                <w:szCs w:val="21"/>
              </w:rPr>
            </w:pPr>
          </w:p>
        </w:tc>
        <w:tc>
          <w:tcPr>
            <w:tcW w:w="8173" w:type="dxa"/>
            <w:tcBorders>
              <w:top w:val="single" w:color="000000" w:sz="4" w:space="0"/>
              <w:left w:val="single" w:color="000000" w:sz="4" w:space="0"/>
              <w:bottom w:val="single" w:color="000000" w:sz="4" w:space="0"/>
              <w:right w:val="single" w:color="000000" w:sz="4" w:space="0"/>
            </w:tcBorders>
            <w:noWrap/>
            <w:vAlign w:val="center"/>
          </w:tcPr>
          <w:p w14:paraId="1719BAF8">
            <w:pPr>
              <w:widowControl/>
              <w:jc w:val="left"/>
              <w:textAlignment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kern w:val="0"/>
                <w:sz w:val="21"/>
                <w:szCs w:val="21"/>
                <w:lang w:bidi="ar"/>
              </w:rPr>
              <w:t>师带徒体系培养、入职培训、技能培训、职业资格考试等</w:t>
            </w:r>
          </w:p>
        </w:tc>
      </w:tr>
      <w:tr w14:paraId="71CE456B">
        <w:tblPrEx>
          <w:tblCellMar>
            <w:top w:w="0" w:type="dxa"/>
            <w:left w:w="108" w:type="dxa"/>
            <w:bottom w:w="0" w:type="dxa"/>
            <w:right w:w="108" w:type="dxa"/>
          </w:tblCellMar>
        </w:tblPrEx>
        <w:trPr>
          <w:trHeight w:val="528" w:hRule="atLeast"/>
        </w:trPr>
        <w:tc>
          <w:tcPr>
            <w:tcW w:w="1245" w:type="dxa"/>
            <w:vMerge w:val="continue"/>
            <w:tcBorders>
              <w:top w:val="single" w:color="000000" w:sz="4" w:space="0"/>
              <w:left w:val="single" w:color="000000" w:sz="4" w:space="0"/>
              <w:bottom w:val="single" w:color="000000" w:sz="4" w:space="0"/>
              <w:right w:val="single" w:color="000000" w:sz="4" w:space="0"/>
            </w:tcBorders>
            <w:shd w:val="clear" w:color="auto" w:fill="9BC2E6"/>
            <w:noWrap/>
            <w:vAlign w:val="center"/>
          </w:tcPr>
          <w:p w14:paraId="0ACCC3AC">
            <w:pPr>
              <w:jc w:val="center"/>
              <w:rPr>
                <w:rFonts w:hint="eastAsia" w:ascii="微软雅黑" w:hAnsi="微软雅黑" w:eastAsia="微软雅黑" w:cs="微软雅黑"/>
                <w:b/>
                <w:bCs/>
                <w:color w:val="000000"/>
                <w:sz w:val="21"/>
                <w:szCs w:val="21"/>
              </w:rPr>
            </w:pPr>
          </w:p>
        </w:tc>
        <w:tc>
          <w:tcPr>
            <w:tcW w:w="8173" w:type="dxa"/>
            <w:tcBorders>
              <w:top w:val="single" w:color="000000" w:sz="4" w:space="0"/>
              <w:left w:val="single" w:color="000000" w:sz="4" w:space="0"/>
              <w:bottom w:val="single" w:color="000000" w:sz="4" w:space="0"/>
              <w:right w:val="single" w:color="000000" w:sz="4" w:space="0"/>
            </w:tcBorders>
            <w:noWrap/>
            <w:vAlign w:val="center"/>
          </w:tcPr>
          <w:p w14:paraId="3A04E2E4">
            <w:pPr>
              <w:widowControl/>
              <w:jc w:val="left"/>
              <w:textAlignment w:val="center"/>
              <w:rPr>
                <w:rFonts w:hint="eastAsia" w:ascii="微软雅黑" w:hAnsi="微软雅黑" w:eastAsia="微软雅黑" w:cs="微软雅黑"/>
                <w:color w:val="FF0000"/>
                <w:sz w:val="21"/>
                <w:szCs w:val="21"/>
              </w:rPr>
            </w:pPr>
            <w:r>
              <w:rPr>
                <w:rFonts w:hint="eastAsia" w:ascii="微软雅黑" w:hAnsi="微软雅黑" w:eastAsia="微软雅黑" w:cs="微软雅黑"/>
                <w:color w:val="FF0000"/>
                <w:kern w:val="0"/>
                <w:sz w:val="21"/>
                <w:szCs w:val="21"/>
                <w:lang w:bidi="ar"/>
              </w:rPr>
              <w:t>员工互助基金、结婚礼金、生日礼物、拓展旅游、优秀员工出国旅游等</w:t>
            </w:r>
          </w:p>
        </w:tc>
      </w:tr>
      <w:tr w14:paraId="43C28C20">
        <w:tblPrEx>
          <w:tblCellMar>
            <w:top w:w="0" w:type="dxa"/>
            <w:left w:w="108" w:type="dxa"/>
            <w:bottom w:w="0" w:type="dxa"/>
            <w:right w:w="108" w:type="dxa"/>
          </w:tblCellMar>
        </w:tblPrEx>
        <w:trPr>
          <w:trHeight w:val="635" w:hRule="atLeast"/>
        </w:trPr>
        <w:tc>
          <w:tcPr>
            <w:tcW w:w="1245" w:type="dxa"/>
            <w:tcBorders>
              <w:top w:val="single" w:color="000000" w:sz="4" w:space="0"/>
              <w:left w:val="single" w:color="000000" w:sz="4" w:space="0"/>
              <w:bottom w:val="single" w:color="000000" w:sz="4" w:space="0"/>
              <w:right w:val="single" w:color="000000" w:sz="4" w:space="0"/>
            </w:tcBorders>
            <w:shd w:val="clear" w:color="auto" w:fill="9BC2E6"/>
            <w:noWrap/>
            <w:vAlign w:val="center"/>
          </w:tcPr>
          <w:p w14:paraId="693894B0">
            <w:pPr>
              <w:jc w:val="center"/>
              <w:rPr>
                <w:rFonts w:hint="eastAsia" w:ascii="微软雅黑" w:hAnsi="微软雅黑" w:eastAsia="微软雅黑" w:cs="微软雅黑"/>
                <w:color w:val="000000"/>
                <w:sz w:val="18"/>
                <w:szCs w:val="18"/>
                <w:lang w:val="en-US" w:eastAsia="zh-CN"/>
              </w:rPr>
            </w:pPr>
            <w:r>
              <w:rPr>
                <w:rFonts w:hint="eastAsia" w:ascii="微软雅黑" w:hAnsi="微软雅黑" w:eastAsia="微软雅黑" w:cs="微软雅黑"/>
                <w:b/>
                <w:bCs/>
                <w:color w:val="000000"/>
                <w:kern w:val="0"/>
                <w:sz w:val="21"/>
                <w:szCs w:val="21"/>
                <w:lang w:val="en-US" w:eastAsia="zh-CN" w:bidi="ar"/>
              </w:rPr>
              <w:t>其他福利</w:t>
            </w:r>
          </w:p>
        </w:tc>
        <w:tc>
          <w:tcPr>
            <w:tcW w:w="8173" w:type="dxa"/>
            <w:tcBorders>
              <w:top w:val="single" w:color="000000" w:sz="4" w:space="0"/>
              <w:left w:val="single" w:color="000000" w:sz="4" w:space="0"/>
              <w:bottom w:val="single" w:color="000000" w:sz="4" w:space="0"/>
              <w:right w:val="single" w:color="000000" w:sz="4" w:space="0"/>
            </w:tcBorders>
            <w:noWrap/>
            <w:vAlign w:val="center"/>
          </w:tcPr>
          <w:p w14:paraId="531E8450">
            <w:pPr>
              <w:widowControl/>
              <w:jc w:val="left"/>
              <w:textAlignment w:val="center"/>
              <w:rPr>
                <w:rFonts w:hint="eastAsia" w:ascii="微软雅黑" w:hAnsi="微软雅黑" w:eastAsia="微软雅黑" w:cs="微软雅黑"/>
                <w:color w:val="FF0000"/>
                <w:kern w:val="0"/>
                <w:sz w:val="21"/>
                <w:szCs w:val="21"/>
                <w:lang w:bidi="ar"/>
              </w:rPr>
            </w:pPr>
            <w:r>
              <w:rPr>
                <w:rFonts w:hint="eastAsia" w:ascii="微软雅黑" w:hAnsi="微软雅黑" w:eastAsia="微软雅黑" w:cs="微软雅黑"/>
                <w:color w:val="FF0000"/>
                <w:kern w:val="0"/>
                <w:sz w:val="21"/>
                <w:szCs w:val="21"/>
                <w:lang w:bidi="ar"/>
              </w:rPr>
              <w:t>集团提供完善的轮岗机制，可以为应届生新员工在多岗位学习创造条件</w:t>
            </w:r>
          </w:p>
        </w:tc>
      </w:tr>
    </w:tbl>
    <w:p w14:paraId="2C83D8DD">
      <w:pPr>
        <w:rPr>
          <w:rFonts w:hint="eastAsia" w:ascii="宋体" w:hAnsi="宋体" w:cs="宋体"/>
          <w:sz w:val="28"/>
          <w:szCs w:val="28"/>
        </w:rPr>
      </w:pPr>
    </w:p>
    <w:p w14:paraId="0D4C0B90">
      <w:pPr>
        <w:ind w:firstLine="840" w:firstLineChars="400"/>
        <w:rPr>
          <w:rFonts w:hint="default" w:ascii="宋体" w:hAnsi="宋体" w:cs="宋体"/>
          <w:sz w:val="28"/>
          <w:szCs w:val="28"/>
          <w:lang w:val="en-US"/>
        </w:rPr>
      </w:pPr>
      <w:r>
        <w:drawing>
          <wp:anchor distT="0" distB="0" distL="114300" distR="114300" simplePos="0" relativeHeight="251660288" behindDoc="0" locked="0" layoutInCell="1" allowOverlap="1">
            <wp:simplePos x="0" y="0"/>
            <wp:positionH relativeFrom="column">
              <wp:posOffset>-40005</wp:posOffset>
            </wp:positionH>
            <wp:positionV relativeFrom="paragraph">
              <wp:posOffset>551815</wp:posOffset>
            </wp:positionV>
            <wp:extent cx="2607945" cy="2511425"/>
            <wp:effectExtent l="230505" t="216535" r="255270" b="259080"/>
            <wp:wrapTopAndBottom/>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2400621" y="1805989"/>
                      <a:ext cx="3148940" cy="3148940"/>
                    </a:xfrm>
                    <a:prstGeom prst="rect">
                      <a:avLst/>
                    </a:prstGeom>
                    <a:noFill/>
                    <a:ln w="190500" cap="sq">
                      <a:solidFill>
                        <a:srgbClr val="C8C6BD"/>
                      </a:solidFill>
                      <a:prstDash val="solid"/>
                      <a:miter lim="800000"/>
                      <a:headEnd/>
                      <a:tailEnd/>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Pr>
          <w:rFonts w:hint="eastAsia" w:ascii="宋体" w:hAnsi="宋体" w:cs="宋体"/>
          <w:sz w:val="28"/>
          <w:szCs w:val="28"/>
          <w:lang w:val="en-US" w:eastAsia="zh-CN"/>
        </w:rPr>
        <w:t>微信招聘小程序</w:t>
      </w:r>
    </w:p>
    <w:p w14:paraId="40964FA2">
      <w:pPr>
        <w:jc w:val="center"/>
        <w:rPr>
          <w:rFonts w:hint="eastAsia" w:ascii="黑体" w:hAnsi="黑体" w:eastAsia="黑体" w:cs="黑体"/>
          <w:color w:val="548DD4"/>
          <w:sz w:val="32"/>
          <w:szCs w:val="32"/>
        </w:rPr>
      </w:pPr>
    </w:p>
    <w:p w14:paraId="1458C734">
      <w:pPr>
        <w:rPr>
          <w:rFonts w:hint="eastAsia" w:ascii="微软雅黑" w:hAnsi="微软雅黑" w:eastAsia="微软雅黑" w:cs="微软雅黑"/>
          <w:b/>
          <w:bCs/>
          <w:color w:val="2E75B5"/>
          <w:sz w:val="24"/>
          <w:szCs w:val="24"/>
        </w:rPr>
      </w:pPr>
      <w:r>
        <w:rPr>
          <w:rFonts w:hint="eastAsia" w:ascii="微软雅黑" w:hAnsi="微软雅黑" w:eastAsia="微软雅黑" w:cs="微软雅黑"/>
          <w:b/>
          <w:bCs/>
          <w:color w:val="2E75B5"/>
          <w:sz w:val="24"/>
          <w:szCs w:val="24"/>
        </w:rPr>
        <w:t>联系我们：</w:t>
      </w:r>
    </w:p>
    <w:p w14:paraId="2704ECF5">
      <w:pPr>
        <w:rPr>
          <w:rFonts w:hint="eastAsia" w:ascii="微软雅黑" w:hAnsi="微软雅黑" w:eastAsia="微软雅黑" w:cs="微软雅黑"/>
          <w:b/>
          <w:bCs/>
          <w:color w:val="2E75B5"/>
          <w:sz w:val="24"/>
          <w:szCs w:val="24"/>
        </w:rPr>
      </w:pPr>
      <w:r>
        <w:rPr>
          <w:rFonts w:hint="eastAsia" w:ascii="微软雅黑" w:hAnsi="微软雅黑" w:eastAsia="微软雅黑" w:cs="微软雅黑"/>
          <w:b/>
          <w:bCs/>
          <w:color w:val="2E75B5"/>
          <w:sz w:val="24"/>
          <w:szCs w:val="24"/>
        </w:rPr>
        <w:t>集团总部（北京）：</w:t>
      </w:r>
    </w:p>
    <w:p w14:paraId="5B0DDC24">
      <w:pPr>
        <w:rPr>
          <w:rFonts w:hint="default" w:ascii="微软雅黑" w:hAnsi="微软雅黑" w:eastAsia="微软雅黑" w:cs="微软雅黑"/>
          <w:b/>
          <w:bCs/>
          <w:color w:val="2E75B5"/>
          <w:sz w:val="24"/>
          <w:szCs w:val="24"/>
          <w:lang w:val="en-US" w:eastAsia="zh-CN"/>
        </w:rPr>
      </w:pPr>
      <w:r>
        <w:rPr>
          <w:rFonts w:hint="eastAsia" w:ascii="微软雅黑" w:hAnsi="微软雅黑" w:eastAsia="微软雅黑" w:cs="微软雅黑"/>
          <w:b/>
          <w:bCs/>
          <w:color w:val="2E75B5"/>
          <w:sz w:val="24"/>
          <w:szCs w:val="24"/>
        </w:rPr>
        <w:t>电话：</w:t>
      </w:r>
      <w:r>
        <w:rPr>
          <w:rFonts w:hint="eastAsia" w:ascii="微软雅黑" w:hAnsi="微软雅黑" w:eastAsia="微软雅黑" w:cs="微软雅黑"/>
          <w:b/>
          <w:bCs/>
          <w:color w:val="2E75B5"/>
          <w:sz w:val="24"/>
          <w:szCs w:val="24"/>
          <w:lang w:val="en-US" w:eastAsia="zh-CN"/>
        </w:rPr>
        <w:t>010-67856668</w:t>
      </w:r>
    </w:p>
    <w:p w14:paraId="2CD269B7">
      <w:pPr>
        <w:rPr>
          <w:rFonts w:hint="eastAsia" w:ascii="微软雅黑" w:hAnsi="微软雅黑" w:eastAsia="微软雅黑" w:cs="微软雅黑"/>
          <w:b/>
          <w:bCs/>
          <w:color w:val="2E75B5"/>
          <w:sz w:val="24"/>
          <w:szCs w:val="24"/>
        </w:rPr>
      </w:pPr>
      <w:r>
        <w:rPr>
          <w:rFonts w:hint="eastAsia" w:ascii="微软雅黑" w:hAnsi="微软雅黑" w:eastAsia="微软雅黑" w:cs="微软雅黑"/>
          <w:b/>
          <w:bCs/>
          <w:color w:val="2E75B5"/>
          <w:sz w:val="24"/>
          <w:szCs w:val="24"/>
        </w:rPr>
        <w:t>邮箱：</w:t>
      </w:r>
      <w:r>
        <w:rPr>
          <w:rStyle w:val="6"/>
          <w:rFonts w:hint="eastAsia" w:ascii="微软雅黑" w:hAnsi="微软雅黑" w:eastAsia="微软雅黑" w:cs="微软雅黑"/>
          <w:b/>
          <w:bCs/>
          <w:sz w:val="24"/>
          <w:szCs w:val="24"/>
        </w:rPr>
        <w:fldChar w:fldCharType="begin"/>
      </w:r>
      <w:r>
        <w:rPr>
          <w:rStyle w:val="6"/>
          <w:rFonts w:hint="eastAsia" w:ascii="微软雅黑" w:hAnsi="微软雅黑" w:eastAsia="微软雅黑" w:cs="微软雅黑"/>
          <w:b/>
          <w:bCs/>
          <w:sz w:val="24"/>
          <w:szCs w:val="24"/>
        </w:rPr>
        <w:instrText xml:space="preserve"> HYPERLINK "mailto:liangenhao@centerint.com" </w:instrText>
      </w:r>
      <w:r>
        <w:rPr>
          <w:rStyle w:val="6"/>
          <w:rFonts w:hint="eastAsia" w:ascii="微软雅黑" w:hAnsi="微软雅黑" w:eastAsia="微软雅黑" w:cs="微软雅黑"/>
          <w:b/>
          <w:bCs/>
          <w:sz w:val="24"/>
          <w:szCs w:val="24"/>
        </w:rPr>
        <w:fldChar w:fldCharType="separate"/>
      </w:r>
      <w:r>
        <w:rPr>
          <w:rStyle w:val="6"/>
          <w:rFonts w:hint="eastAsia" w:ascii="微软雅黑" w:hAnsi="微软雅黑" w:eastAsia="微软雅黑" w:cs="微软雅黑"/>
          <w:b/>
          <w:bCs/>
          <w:sz w:val="24"/>
          <w:szCs w:val="24"/>
          <w:lang w:val="en-US" w:eastAsia="zh-CN"/>
        </w:rPr>
        <w:t>xzhr</w:t>
      </w:r>
      <w:r>
        <w:rPr>
          <w:rStyle w:val="6"/>
          <w:rFonts w:hint="eastAsia" w:ascii="微软雅黑" w:hAnsi="微软雅黑" w:eastAsia="微软雅黑" w:cs="微软雅黑"/>
          <w:b/>
          <w:bCs/>
          <w:sz w:val="24"/>
          <w:szCs w:val="24"/>
        </w:rPr>
        <w:t>@centerint.com</w:t>
      </w:r>
      <w:r>
        <w:rPr>
          <w:rStyle w:val="6"/>
          <w:rFonts w:hint="eastAsia" w:ascii="微软雅黑" w:hAnsi="微软雅黑" w:eastAsia="微软雅黑" w:cs="微软雅黑"/>
          <w:b/>
          <w:bCs/>
          <w:sz w:val="24"/>
          <w:szCs w:val="24"/>
        </w:rPr>
        <w:fldChar w:fldCharType="end"/>
      </w:r>
    </w:p>
    <w:p w14:paraId="7EBD747D">
      <w:pPr>
        <w:rPr>
          <w:rFonts w:hint="eastAsia" w:ascii="微软雅黑" w:hAnsi="微软雅黑" w:eastAsia="微软雅黑" w:cs="微软雅黑"/>
          <w:b/>
          <w:bCs/>
          <w:color w:val="2E75B5"/>
          <w:sz w:val="24"/>
          <w:szCs w:val="24"/>
        </w:rPr>
      </w:pPr>
      <w:r>
        <w:rPr>
          <w:rFonts w:hint="eastAsia" w:ascii="微软雅黑" w:hAnsi="微软雅黑" w:eastAsia="微软雅黑" w:cs="微软雅黑"/>
          <w:b/>
          <w:bCs/>
          <w:color w:val="2E75B5"/>
          <w:sz w:val="24"/>
          <w:szCs w:val="24"/>
        </w:rPr>
        <w:t>地址：北京经济技术开发区永昌东四路10号</w:t>
      </w:r>
    </w:p>
    <w:p w14:paraId="05EE0117">
      <w:pPr>
        <w:pStyle w:val="2"/>
        <w:ind w:left="0" w:leftChars="0" w:firstLine="0" w:firstLineChars="0"/>
        <w:rPr>
          <w:rFonts w:hint="eastAsia" w:ascii="黑体" w:hAnsi="黑体" w:eastAsia="黑体" w:cs="黑体"/>
          <w:color w:val="548DD4"/>
          <w:sz w:val="32"/>
          <w:szCs w:val="32"/>
        </w:rPr>
      </w:pPr>
    </w:p>
    <w:p w14:paraId="4C80903B">
      <w:pPr>
        <w:rPr>
          <w:rFonts w:hint="eastAsia" w:ascii="宋体" w:hAnsi="宋体" w:cs="宋体"/>
          <w:sz w:val="28"/>
          <w:szCs w:val="28"/>
        </w:rPr>
      </w:pPr>
      <w:r>
        <w:drawing>
          <wp:inline distT="0" distB="0" distL="114300" distR="114300">
            <wp:extent cx="5410835" cy="3048635"/>
            <wp:effectExtent l="0" t="0" r="14605" b="146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410835" cy="3048635"/>
                    </a:xfrm>
                    <a:prstGeom prst="rect">
                      <a:avLst/>
                    </a:prstGeom>
                    <a:noFill/>
                    <a:ln>
                      <a:noFill/>
                    </a:ln>
                  </pic:spPr>
                </pic:pic>
              </a:graphicData>
            </a:graphic>
          </wp:inline>
        </w:drawing>
      </w:r>
    </w:p>
    <w:p w14:paraId="34D6B723">
      <w:pPr>
        <w:jc w:val="center"/>
        <w:rPr>
          <w:rFonts w:hint="eastAsia" w:ascii="宋体" w:hAnsi="宋体" w:cs="宋体"/>
          <w:b/>
          <w:bCs/>
          <w:color w:val="548DD4"/>
          <w:sz w:val="28"/>
          <w:szCs w:val="28"/>
        </w:rPr>
      </w:pPr>
      <w:r>
        <w:rPr>
          <w:rFonts w:hint="eastAsia" w:ascii="宋体" w:hAnsi="宋体" w:cs="宋体"/>
          <w:b/>
          <w:bCs/>
          <w:color w:val="548DD4"/>
          <w:sz w:val="28"/>
          <w:szCs w:val="28"/>
        </w:rPr>
        <w:t>北京大兴国际机场</w:t>
      </w:r>
    </w:p>
    <w:p w14:paraId="560092D7">
      <w:pPr>
        <w:rPr>
          <w:rFonts w:hint="eastAsia" w:ascii="宋体" w:hAnsi="宋体" w:cs="宋体"/>
          <w:sz w:val="28"/>
          <w:szCs w:val="28"/>
        </w:rPr>
      </w:pPr>
    </w:p>
    <w:p w14:paraId="5DAD2CCA">
      <w:pPr>
        <w:rPr>
          <w:rFonts w:hint="eastAsia" w:ascii="宋体" w:hAnsi="宋体" w:cs="宋体"/>
          <w:sz w:val="28"/>
          <w:szCs w:val="28"/>
        </w:rPr>
      </w:pPr>
    </w:p>
    <w:p w14:paraId="24CC9AF4">
      <w:pPr>
        <w:rPr>
          <w:rFonts w:hint="eastAsia" w:ascii="宋体" w:hAnsi="宋体" w:cs="宋体"/>
          <w:sz w:val="28"/>
          <w:szCs w:val="28"/>
        </w:rPr>
      </w:pPr>
      <w:r>
        <w:drawing>
          <wp:inline distT="0" distB="0" distL="114300" distR="114300">
            <wp:extent cx="6015990" cy="3217545"/>
            <wp:effectExtent l="0" t="0" r="3810" b="1333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7"/>
                    <a:stretch>
                      <a:fillRect/>
                    </a:stretch>
                  </pic:blipFill>
                  <pic:spPr>
                    <a:xfrm>
                      <a:off x="0" y="0"/>
                      <a:ext cx="6015990" cy="3217545"/>
                    </a:xfrm>
                    <a:prstGeom prst="rect">
                      <a:avLst/>
                    </a:prstGeom>
                    <a:noFill/>
                    <a:ln>
                      <a:noFill/>
                    </a:ln>
                  </pic:spPr>
                </pic:pic>
              </a:graphicData>
            </a:graphic>
          </wp:inline>
        </w:drawing>
      </w:r>
    </w:p>
    <w:p w14:paraId="0571C9B6">
      <w:pPr>
        <w:jc w:val="center"/>
        <w:rPr>
          <w:rFonts w:hint="eastAsia" w:ascii="宋体" w:hAnsi="宋体" w:cs="宋体"/>
          <w:b/>
          <w:bCs/>
          <w:color w:val="548DD4"/>
          <w:sz w:val="28"/>
          <w:szCs w:val="28"/>
        </w:rPr>
      </w:pPr>
      <w:r>
        <w:rPr>
          <w:rFonts w:hint="eastAsia" w:ascii="宋体" w:hAnsi="宋体" w:cs="宋体"/>
          <w:b/>
          <w:bCs/>
          <w:color w:val="548DD4"/>
          <w:sz w:val="28"/>
          <w:szCs w:val="28"/>
        </w:rPr>
        <w:t>雄安高铁站</w:t>
      </w:r>
    </w:p>
    <w:p w14:paraId="2373D03F">
      <w:pPr>
        <w:jc w:val="center"/>
        <w:rPr>
          <w:rFonts w:hint="eastAsia" w:ascii="宋体" w:hAnsi="宋体" w:eastAsia="宋体" w:cs="宋体"/>
          <w:b/>
          <w:bCs/>
          <w:color w:val="548DD4"/>
          <w:sz w:val="28"/>
          <w:szCs w:val="28"/>
          <w:lang w:eastAsia="zh-CN"/>
        </w:rPr>
      </w:pPr>
      <w:r>
        <w:rPr>
          <w:rFonts w:hint="eastAsia" w:ascii="宋体" w:hAnsi="宋体" w:eastAsia="宋体" w:cs="宋体"/>
          <w:b/>
          <w:bCs/>
          <w:color w:val="548DD4"/>
          <w:sz w:val="28"/>
          <w:szCs w:val="28"/>
          <w:lang w:eastAsia="zh-CN"/>
        </w:rPr>
        <w:drawing>
          <wp:inline distT="0" distB="0" distL="114300" distR="114300">
            <wp:extent cx="5403850" cy="2969260"/>
            <wp:effectExtent l="0" t="0" r="6350" b="2540"/>
            <wp:docPr id="9" name="图片 9" descr="首钢绿轴土壤修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首钢绿轴土壤修复 (2)"/>
                    <pic:cNvPicPr>
                      <a:picLocks noChangeAspect="1"/>
                    </pic:cNvPicPr>
                  </pic:nvPicPr>
                  <pic:blipFill>
                    <a:blip r:embed="rId8"/>
                    <a:stretch>
                      <a:fillRect/>
                    </a:stretch>
                  </pic:blipFill>
                  <pic:spPr>
                    <a:xfrm>
                      <a:off x="0" y="0"/>
                      <a:ext cx="5403850" cy="2969260"/>
                    </a:xfrm>
                    <a:prstGeom prst="rect">
                      <a:avLst/>
                    </a:prstGeom>
                  </pic:spPr>
                </pic:pic>
              </a:graphicData>
            </a:graphic>
          </wp:inline>
        </w:drawing>
      </w:r>
    </w:p>
    <w:p w14:paraId="05DFC2B2">
      <w:pPr>
        <w:jc w:val="center"/>
        <w:rPr>
          <w:rFonts w:hint="default" w:ascii="宋体" w:hAnsi="宋体" w:eastAsia="宋体" w:cs="宋体"/>
          <w:b/>
          <w:bCs/>
          <w:color w:val="548DD4"/>
          <w:sz w:val="28"/>
          <w:szCs w:val="28"/>
          <w:lang w:val="en-US" w:eastAsia="zh-CN"/>
        </w:rPr>
      </w:pPr>
      <w:r>
        <w:rPr>
          <w:rFonts w:hint="eastAsia" w:ascii="宋体" w:hAnsi="宋体" w:cs="宋体"/>
          <w:b/>
          <w:bCs/>
          <w:color w:val="548DD4"/>
          <w:sz w:val="28"/>
          <w:szCs w:val="28"/>
          <w:lang w:val="en-US" w:eastAsia="zh-CN"/>
        </w:rPr>
        <w:t>首钢绿轴土壤修复项目</w:t>
      </w:r>
    </w:p>
    <w:p w14:paraId="15E91281">
      <w:pPr>
        <w:rPr>
          <w:rFonts w:hint="eastAsia" w:eastAsia="宋体"/>
          <w:lang w:eastAsia="zh-CN"/>
        </w:rPr>
      </w:pPr>
      <w:r>
        <w:rPr>
          <w:rFonts w:hint="eastAsia" w:eastAsia="宋体"/>
          <w:lang w:eastAsia="zh-CN"/>
        </w:rPr>
        <w:drawing>
          <wp:inline distT="0" distB="0" distL="114300" distR="114300">
            <wp:extent cx="5351145" cy="3567430"/>
            <wp:effectExtent l="0" t="0" r="1905" b="4445"/>
            <wp:docPr id="7" name="图片 7" descr="山重集团（中国重汽莱芜重卡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山重集团（中国重汽莱芜重卡 ）"/>
                    <pic:cNvPicPr>
                      <a:picLocks noChangeAspect="1"/>
                    </pic:cNvPicPr>
                  </pic:nvPicPr>
                  <pic:blipFill>
                    <a:blip r:embed="rId9"/>
                    <a:stretch>
                      <a:fillRect/>
                    </a:stretch>
                  </pic:blipFill>
                  <pic:spPr>
                    <a:xfrm>
                      <a:off x="0" y="0"/>
                      <a:ext cx="5351145" cy="3567430"/>
                    </a:xfrm>
                    <a:prstGeom prst="rect">
                      <a:avLst/>
                    </a:prstGeom>
                  </pic:spPr>
                </pic:pic>
              </a:graphicData>
            </a:graphic>
          </wp:inline>
        </w:drawing>
      </w:r>
    </w:p>
    <w:p w14:paraId="378A4066">
      <w:pPr>
        <w:jc w:val="center"/>
        <w:rPr>
          <w:rFonts w:hint="eastAsia" w:ascii="宋体" w:hAnsi="宋体" w:cs="宋体"/>
          <w:b/>
          <w:bCs/>
          <w:color w:val="548DD4"/>
          <w:sz w:val="28"/>
          <w:szCs w:val="28"/>
          <w:lang w:val="en-US" w:eastAsia="zh-CN"/>
        </w:rPr>
      </w:pPr>
      <w:r>
        <w:rPr>
          <w:rFonts w:hint="eastAsia" w:ascii="宋体" w:hAnsi="宋体" w:cs="宋体"/>
          <w:b/>
          <w:bCs/>
          <w:color w:val="548DD4"/>
          <w:sz w:val="28"/>
          <w:szCs w:val="28"/>
          <w:lang w:val="en-US" w:eastAsia="zh-CN"/>
        </w:rPr>
        <w:t>山东重工BIPV项目</w:t>
      </w:r>
    </w:p>
    <w:p w14:paraId="6D3D055E">
      <w:pPr>
        <w:jc w:val="center"/>
        <w:rPr>
          <w:rFonts w:hint="default" w:ascii="宋体" w:hAnsi="宋体" w:cs="宋体"/>
          <w:b/>
          <w:bCs/>
          <w:color w:val="548DD4"/>
          <w:sz w:val="28"/>
          <w:szCs w:val="28"/>
          <w:lang w:val="en-US" w:eastAsia="zh-CN"/>
        </w:rPr>
      </w:pPr>
      <w:r>
        <w:rPr>
          <w:rFonts w:hint="default" w:ascii="宋体" w:hAnsi="宋体" w:cs="宋体"/>
          <w:b/>
          <w:bCs/>
          <w:color w:val="548DD4"/>
          <w:sz w:val="28"/>
          <w:szCs w:val="28"/>
          <w:lang w:val="en-US" w:eastAsia="zh-CN"/>
        </w:rPr>
        <w:drawing>
          <wp:inline distT="0" distB="0" distL="114300" distR="114300">
            <wp:extent cx="5384800" cy="3388995"/>
            <wp:effectExtent l="0" t="0" r="0" b="0"/>
            <wp:docPr id="8" name="图片 8" descr="博鳌2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博鳌2025-2"/>
                    <pic:cNvPicPr>
                      <a:picLocks noChangeAspect="1"/>
                    </pic:cNvPicPr>
                  </pic:nvPicPr>
                  <pic:blipFill>
                    <a:blip r:embed="rId10"/>
                    <a:srcRect t="16085"/>
                    <a:stretch>
                      <a:fillRect/>
                    </a:stretch>
                  </pic:blipFill>
                  <pic:spPr>
                    <a:xfrm>
                      <a:off x="0" y="0"/>
                      <a:ext cx="5384800" cy="3388995"/>
                    </a:xfrm>
                    <a:prstGeom prst="rect">
                      <a:avLst/>
                    </a:prstGeom>
                  </pic:spPr>
                </pic:pic>
              </a:graphicData>
            </a:graphic>
          </wp:inline>
        </w:drawing>
      </w:r>
    </w:p>
    <w:p w14:paraId="0EA41A53">
      <w:pPr>
        <w:jc w:val="center"/>
        <w:rPr>
          <w:rFonts w:hint="default" w:ascii="宋体" w:hAnsi="宋体" w:cs="宋体"/>
          <w:b/>
          <w:bCs/>
          <w:color w:val="548DD4"/>
          <w:sz w:val="28"/>
          <w:szCs w:val="28"/>
          <w:lang w:val="en-US" w:eastAsia="zh-CN"/>
        </w:rPr>
      </w:pPr>
      <w:r>
        <w:rPr>
          <w:rFonts w:hint="eastAsia" w:ascii="宋体" w:hAnsi="宋体" w:cs="宋体"/>
          <w:b/>
          <w:bCs/>
          <w:color w:val="548DD4"/>
          <w:sz w:val="28"/>
          <w:szCs w:val="28"/>
          <w:lang w:val="en-US" w:eastAsia="zh-CN"/>
        </w:rPr>
        <w:t>博鳌亚洲论坛项目</w:t>
      </w:r>
    </w:p>
    <w:sectPr>
      <w:headerReference r:id="rId3" w:type="default"/>
      <w:pgSz w:w="11906" w:h="16838"/>
      <w:pgMar w:top="703" w:right="1689" w:bottom="873" w:left="1689"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773E2">
    <w:pPr>
      <w:pStyle w:val="3"/>
      <w:rPr>
        <w:rFonts w:hint="eastAsia"/>
      </w:rPr>
    </w:pPr>
    <w:r>
      <w:rPr>
        <w:rFonts w:hint="eastAsia"/>
      </w:rPr>
      <w:drawing>
        <wp:inline distT="0" distB="0" distL="114300" distR="114300">
          <wp:extent cx="1399540" cy="596265"/>
          <wp:effectExtent l="0" t="0" r="2540" b="13335"/>
          <wp:docPr id="1" name="图片 4"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公司LOGO"/>
                  <pic:cNvPicPr>
                    <a:picLocks noChangeAspect="1"/>
                  </pic:cNvPicPr>
                </pic:nvPicPr>
                <pic:blipFill>
                  <a:blip r:embed="rId1"/>
                  <a:stretch>
                    <a:fillRect/>
                  </a:stretch>
                </pic:blipFill>
                <pic:spPr>
                  <a:xfrm>
                    <a:off x="0" y="0"/>
                    <a:ext cx="1399540" cy="59626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A6C4F"/>
    <w:rsid w:val="0361440A"/>
    <w:rsid w:val="038D51FF"/>
    <w:rsid w:val="061A3342"/>
    <w:rsid w:val="08FD7C2A"/>
    <w:rsid w:val="12D06EB6"/>
    <w:rsid w:val="13BD38DE"/>
    <w:rsid w:val="14F21366"/>
    <w:rsid w:val="15BB5BEA"/>
    <w:rsid w:val="21E169EA"/>
    <w:rsid w:val="282537B6"/>
    <w:rsid w:val="2ED753FC"/>
    <w:rsid w:val="30DD4D3A"/>
    <w:rsid w:val="352164C1"/>
    <w:rsid w:val="3CD047F8"/>
    <w:rsid w:val="43574906"/>
    <w:rsid w:val="4DE66FB2"/>
    <w:rsid w:val="4F381A8F"/>
    <w:rsid w:val="527072E9"/>
    <w:rsid w:val="58445001"/>
    <w:rsid w:val="5B5A1450"/>
    <w:rsid w:val="5BB57B73"/>
    <w:rsid w:val="62E573E1"/>
    <w:rsid w:val="68461DEB"/>
    <w:rsid w:val="71265794"/>
    <w:rsid w:val="75640639"/>
    <w:rsid w:val="76206426"/>
    <w:rsid w:val="766C59F7"/>
    <w:rsid w:val="77FF00D8"/>
    <w:rsid w:val="7A112570"/>
    <w:rsid w:val="7AD236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able of authorities"/>
    <w:basedOn w:val="1"/>
    <w:next w:val="1"/>
    <w:qFormat/>
    <w:uiPriority w:val="0"/>
    <w:pPr>
      <w:ind w:left="420" w:leftChars="200"/>
    </w:pPr>
    <w:rPr>
      <w:rFonts w:eastAsia="等线" w:cs="Times New Roman"/>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 w:type="character" w:customStyle="1" w:styleId="7">
    <w:name w:val="font21"/>
    <w:qFormat/>
    <w:uiPriority w:val="0"/>
    <w:rPr>
      <w:rFonts w:hint="eastAsia" w:ascii="宋体" w:hAnsi="宋体" w:eastAsia="宋体" w:cs="宋体"/>
      <w:color w:val="000000"/>
      <w:sz w:val="20"/>
      <w:szCs w:val="20"/>
      <w:u w:val="none"/>
    </w:rPr>
  </w:style>
  <w:style w:type="paragraph" w:customStyle="1" w:styleId="8">
    <w:name w:val="_Style 13"/>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1784</Words>
  <Characters>1895</Characters>
  <Lines>0</Lines>
  <Paragraphs>0</Paragraphs>
  <TotalTime>77</TotalTime>
  <ScaleCrop>false</ScaleCrop>
  <LinksUpToDate>false</LinksUpToDate>
  <CharactersWithSpaces>1915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2024-12-31T02:47:00Z</dcterms:created>
  <dc:creator>办公室</dc:creator>
  <cp:lastModifiedBy>PQ</cp:lastModifiedBy>
  <dcterms:modified xsi:type="dcterms:W3CDTF">2025-09-08T08:07:34Z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eyJoZGlkIjoiZTQ4ODQwNThiYTg4YTBlNDhkZDRmNGNiNWM5NWE1YzAiLCJ1c2VySWQiOiIzNzAzMDM3ODIifQ==</vt:lpwstr>
  </property>
  <property fmtid="{D5CDD505-2E9C-101B-9397-08002B2CF9AE}" pid="4" name="ICV">
    <vt:lpwstr>69361F6AEFF541BFA1F057449EE6A47D_13</vt:lpwstr>
  </property>
</Properties>
</file>