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0"/>
        <w:keepNext w:val="false"/>
        <w:keepLines w:val="false"/>
        <w:pageBreakBefore w:val="false"/>
        <w:widowControl/>
        <w:kinsoku/>
        <w:wordWrap/>
        <w:overflowPunct/>
        <w:topLinePunct w:val="false"/>
        <w:autoSpaceDE/>
        <w:autoSpaceDN/>
        <w:bidi w:val="false"/>
        <w:adjustRightInd/>
        <w:snapToGrid/>
        <w:spacing w:lineRule="exact" w:line="640"/>
        <w:jc w:val="center"/>
        <w:textAlignment w:val="auto"/>
        <w:rPr>
          <w:rFonts w:ascii="方正小标宋简体" w:cs="方正小标宋简体" w:eastAsia="方正小标宋简体" w:hAnsi="方正小标宋简体" w:hint="eastAsia"/>
          <w:b/>
          <w:bCs w:val="false"/>
          <w:color w:val="333333"/>
          <w:kern w:val="0"/>
          <w:sz w:val="44"/>
          <w:szCs w:val="44"/>
          <w:lang w:eastAsia="zh-CN"/>
        </w:rPr>
      </w:pPr>
      <w:r>
        <w:rPr>
          <w:rFonts w:ascii="方正小标宋简体" w:cs="方正小标宋简体" w:eastAsia="方正小标宋简体" w:hAnsi="方正小标宋简体" w:hint="eastAsia"/>
          <w:b/>
          <w:bCs w:val="false"/>
          <w:color w:val="333333"/>
          <w:kern w:val="0"/>
          <w:sz w:val="44"/>
          <w:szCs w:val="44"/>
        </w:rPr>
        <w:t>中建四局</w:t>
      </w:r>
      <w:r>
        <w:rPr>
          <w:rFonts w:ascii="方正小标宋简体" w:cs="方正小标宋简体" w:eastAsia="方正小标宋简体" w:hAnsi="方正小标宋简体" w:hint="eastAsia"/>
          <w:b/>
          <w:bCs w:val="false"/>
          <w:color w:val="333333"/>
          <w:kern w:val="0"/>
          <w:sz w:val="44"/>
          <w:szCs w:val="44"/>
          <w:lang w:eastAsia="zh-CN"/>
        </w:rPr>
        <w:t>北京公司</w:t>
      </w:r>
      <w:r>
        <w:rPr>
          <w:rFonts w:ascii="方正小标宋简体" w:cs="方正小标宋简体" w:eastAsia="方正小标宋简体" w:hAnsi="方正小标宋简体" w:hint="eastAsia"/>
          <w:b/>
          <w:bCs w:val="false"/>
          <w:color w:val="333333"/>
          <w:kern w:val="0"/>
          <w:sz w:val="44"/>
          <w:szCs w:val="44"/>
        </w:rPr>
        <w:t>202</w:t>
      </w:r>
      <w:r>
        <w:rPr>
          <w:rFonts w:ascii="方正小标宋简体" w:cs="方正小标宋简体" w:eastAsia="方正小标宋简体" w:hAnsi="方正小标宋简体" w:hint="eastAsia"/>
          <w:b/>
          <w:bCs w:val="false"/>
          <w:color w:val="333333"/>
          <w:kern w:val="0"/>
          <w:sz w:val="44"/>
          <w:szCs w:val="44"/>
          <w:lang w:val="en-US" w:eastAsia="zh-CN"/>
        </w:rPr>
        <w:t>4</w:t>
      </w:r>
      <w:r>
        <w:rPr>
          <w:rFonts w:ascii="方正小标宋简体" w:cs="方正小标宋简体" w:eastAsia="方正小标宋简体" w:hAnsi="方正小标宋简体" w:hint="eastAsia"/>
          <w:b/>
          <w:bCs w:val="false"/>
          <w:color w:val="333333"/>
          <w:kern w:val="0"/>
          <w:sz w:val="44"/>
          <w:szCs w:val="44"/>
        </w:rPr>
        <w:t>届</w:t>
      </w:r>
      <w:r>
        <w:rPr>
          <w:rFonts w:ascii="方正小标宋简体" w:cs="方正小标宋简体" w:eastAsia="方正小标宋简体" w:hAnsi="方正小标宋简体" w:hint="eastAsia"/>
          <w:b/>
          <w:bCs w:val="false"/>
          <w:color w:val="333333"/>
          <w:kern w:val="0"/>
          <w:sz w:val="44"/>
          <w:szCs w:val="44"/>
          <w:lang w:eastAsia="zh-CN"/>
        </w:rPr>
        <w:t>“</w:t>
      </w:r>
      <w:r>
        <w:rPr>
          <w:rFonts w:ascii="方正小标宋简体" w:cs="方正小标宋简体" w:eastAsia="方正小标宋简体" w:hAnsi="方正小标宋简体" w:hint="eastAsia"/>
          <w:b/>
          <w:bCs w:val="false"/>
          <w:color w:val="333333"/>
          <w:kern w:val="0"/>
          <w:sz w:val="44"/>
          <w:szCs w:val="44"/>
          <w:lang w:val="en-US" w:eastAsia="zh-CN"/>
        </w:rPr>
        <w:t>京青年</w:t>
      </w:r>
      <w:r>
        <w:rPr>
          <w:rFonts w:ascii="方正小标宋简体" w:cs="方正小标宋简体" w:eastAsia="方正小标宋简体" w:hAnsi="方正小标宋简体" w:hint="eastAsia"/>
          <w:b/>
          <w:bCs w:val="false"/>
          <w:color w:val="333333"/>
          <w:kern w:val="0"/>
          <w:sz w:val="44"/>
          <w:szCs w:val="44"/>
          <w:lang w:eastAsia="zh-CN"/>
        </w:rPr>
        <w:t>”</w:t>
      </w:r>
    </w:p>
    <w:p>
      <w:pPr>
        <w:pStyle w:val="style0"/>
        <w:keepNext w:val="false"/>
        <w:keepLines w:val="false"/>
        <w:pageBreakBefore w:val="false"/>
        <w:widowControl/>
        <w:kinsoku/>
        <w:wordWrap/>
        <w:overflowPunct/>
        <w:topLinePunct w:val="false"/>
        <w:autoSpaceDE/>
        <w:autoSpaceDN/>
        <w:bidi w:val="false"/>
        <w:adjustRightInd/>
        <w:snapToGrid/>
        <w:spacing w:lineRule="exact" w:line="640"/>
        <w:jc w:val="center"/>
        <w:textAlignment w:val="auto"/>
        <w:rPr>
          <w:rFonts w:ascii="方正小标宋简体" w:cs="方正小标宋简体" w:eastAsia="方正小标宋简体" w:hAnsi="方正小标宋简体" w:hint="eastAsia"/>
          <w:b/>
          <w:bCs w:val="false"/>
          <w:color w:val="333333"/>
          <w:kern w:val="0"/>
          <w:sz w:val="44"/>
          <w:szCs w:val="44"/>
        </w:rPr>
      </w:pPr>
      <w:r>
        <w:rPr>
          <w:rFonts w:ascii="方正小标宋简体" w:cs="方正小标宋简体" w:eastAsia="方正小标宋简体" w:hAnsi="方正小标宋简体" w:hint="eastAsia"/>
          <w:b/>
          <w:bCs w:val="false"/>
          <w:color w:val="333333"/>
          <w:kern w:val="0"/>
          <w:sz w:val="44"/>
          <w:szCs w:val="44"/>
        </w:rPr>
        <w:t>校园招聘简章</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黑体" w:cs="黑体" w:eastAsia="黑体" w:hAnsi="黑体" w:hint="eastAsia"/>
          <w:b w:val="false"/>
          <w:bCs w:val="false"/>
          <w:color w:val="auto"/>
          <w:sz w:val="32"/>
          <w:szCs w:val="32"/>
        </w:rPr>
      </w:pP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黑体" w:cs="黑体" w:eastAsia="黑体" w:hAnsi="黑体" w:hint="eastAsia"/>
          <w:b w:val="false"/>
          <w:bCs w:val="false"/>
          <w:color w:val="auto"/>
          <w:sz w:val="32"/>
          <w:szCs w:val="32"/>
        </w:rPr>
      </w:pPr>
      <w:r>
        <w:rPr>
          <w:rFonts w:ascii="黑体" w:cs="黑体" w:eastAsia="黑体" w:hAnsi="黑体" w:hint="eastAsia"/>
          <w:b w:val="false"/>
          <w:bCs w:val="false"/>
          <w:color w:val="auto"/>
          <w:sz w:val="32"/>
          <w:szCs w:val="32"/>
        </w:rPr>
        <w:t>一、企业简介</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eastAsia"/>
          <w:b w:val="false"/>
          <w:bCs w:val="false"/>
          <w:color w:val="auto"/>
          <w:sz w:val="32"/>
          <w:szCs w:val="32"/>
          <w:lang w:val="en-US" w:eastAsia="zh-CN"/>
        </w:rPr>
      </w:pPr>
      <w:r>
        <w:rPr>
          <w:rFonts w:ascii="仿宋_GB2312" w:cs="仿宋_GB2312" w:eastAsia="仿宋_GB2312" w:hAnsi="仿宋_GB2312" w:hint="eastAsia"/>
          <w:b w:val="false"/>
          <w:bCs w:val="false"/>
          <w:color w:val="auto"/>
          <w:sz w:val="32"/>
          <w:szCs w:val="32"/>
          <w:lang w:val="en-US" w:eastAsia="zh-CN"/>
        </w:rPr>
        <w:t>中建四局北京公司（北方分局）于2020年7月28日正式揭牌，总部位于北京市朝阳区亚洲金融大厦，是世界500强企业</w:t>
      </w:r>
      <w:r>
        <w:rPr>
          <w:rFonts w:ascii="仿宋_GB2312" w:cs="仿宋_GB2312" w:eastAsia="仿宋_GB2312" w:hAnsi="仿宋_GB2312" w:hint="eastAsia"/>
          <w:b w:val="false"/>
          <w:bCs w:val="false"/>
          <w:color w:val="auto"/>
          <w:sz w:val="32"/>
          <w:szCs w:val="32"/>
          <w:highlight w:val="none"/>
          <w:lang w:val="en-US" w:eastAsia="zh-CN"/>
        </w:rPr>
        <w:t>“中国建筑”主力工程局中建四局</w:t>
      </w:r>
      <w:r>
        <w:rPr>
          <w:rFonts w:ascii="仿宋_GB2312" w:cs="仿宋_GB2312" w:eastAsia="仿宋_GB2312" w:hAnsi="仿宋_GB2312" w:hint="eastAsia"/>
          <w:b w:val="false"/>
          <w:bCs w:val="false"/>
          <w:color w:val="auto"/>
          <w:sz w:val="32"/>
          <w:szCs w:val="32"/>
          <w:lang w:val="en-US" w:eastAsia="zh-CN"/>
        </w:rPr>
        <w:t>的全资子公司，下辖东北分公司、河北分公司、总承包分公司、基础设施分公司、华北分公司5家生产型分公司，以及电子工程事业部、新型业务事业部、雄安营销中心、青岛营销中心，共9家司属二级单位，在职员工1600余人。成立三年，年合约额突破两百亿，已逐步形成以北京为核心，以天津市、河北省、山东省、山西省、东三省为重点的区域布局，以“房建+基础设施”两轮驱动为主的业务格局。北京公司党委坚持创新发展思路，树立四局品牌，建设“品质北京”“品牌北京”“幸福北京”，不断推进公司及工程局高质量发展，拓展幸福空间。</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jc w:val="both"/>
        <w:textAlignment w:val="auto"/>
        <w:rPr>
          <w:rFonts w:ascii="仿宋_GB2312" w:cs="仿宋_GB2312" w:eastAsia="仿宋_GB2312" w:hAnsi="仿宋_GB2312" w:hint="default"/>
          <w:b w:val="false"/>
          <w:bCs w:val="false"/>
          <w:color w:val="auto"/>
          <w:sz w:val="32"/>
          <w:szCs w:val="32"/>
          <w:lang w:val="en-US" w:eastAsia="zh-CN"/>
        </w:rPr>
      </w:pPr>
      <w:r>
        <w:rPr>
          <w:rFonts w:ascii="仿宋_GB2312" w:cs="仿宋_GB2312" w:eastAsia="仿宋_GB2312" w:hAnsi="仿宋_GB2312" w:hint="eastAsia"/>
          <w:b w:val="false"/>
          <w:bCs w:val="false"/>
          <w:color w:val="auto"/>
          <w:sz w:val="32"/>
          <w:szCs w:val="32"/>
          <w:lang w:val="en-US" w:eastAsia="zh-CN"/>
        </w:rPr>
        <w:t>欢迎关注中建四局北京公司微信公众号，了解更多资讯！</w:t>
      </w:r>
    </w:p>
    <w:p>
      <w:pPr>
        <w:pStyle w:val="style0"/>
        <w:keepNext w:val="false"/>
        <w:keepLines w:val="false"/>
        <w:pageBreakBefore w:val="false"/>
        <w:widowControl w:val="false"/>
        <w:kinsoku/>
        <w:wordWrap/>
        <w:overflowPunct/>
        <w:topLinePunct w:val="false"/>
        <w:autoSpaceDE/>
        <w:autoSpaceDN/>
        <w:bidi w:val="false"/>
        <w:adjustRightInd/>
        <w:snapToGrid/>
        <w:jc w:val="center"/>
        <w:textAlignment w:val="auto"/>
        <w:rPr>
          <w:rFonts w:ascii="仿宋_GB2312" w:cs="仿宋_GB2312" w:eastAsia="仿宋_GB2312" w:hAnsi="仿宋_GB2312" w:hint="default"/>
          <w:b w:val="false"/>
          <w:bCs w:val="false"/>
          <w:color w:val="auto"/>
          <w:sz w:val="32"/>
          <w:szCs w:val="32"/>
          <w:lang w:val="en-US" w:eastAsia="zh-CN"/>
        </w:rPr>
      </w:pPr>
      <w:r>
        <w:rPr>
          <w:rFonts w:ascii="仿宋_GB2312" w:cs="仿宋_GB2312" w:eastAsia="仿宋_GB2312" w:hAnsi="仿宋_GB2312" w:hint="eastAsia"/>
          <w:b w:val="false"/>
          <w:bCs w:val="false"/>
          <w:color w:val="auto"/>
          <w:sz w:val="32"/>
          <w:szCs w:val="32"/>
          <w:lang w:val="en-US" w:eastAsia="zh-CN"/>
        </w:rPr>
        <w:drawing>
          <wp:inline distL="0" distT="0" distB="0" distR="0">
            <wp:extent cx="1251585" cy="1280160"/>
            <wp:effectExtent l="0" t="0" r="5715" b="15240"/>
            <wp:docPr id="1027" name="图片 4" descr="7fac64249569e1efcdaaac3fbbce91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4"/>
                    <pic:cNvPicPr/>
                  </pic:nvPicPr>
                  <pic:blipFill>
                    <a:blip r:embed="rId2" cstate="print"/>
                    <a:srcRect l="0" t="0" r="0" b="0"/>
                    <a:stretch/>
                  </pic:blipFill>
                  <pic:spPr>
                    <a:xfrm rot="0">
                      <a:off x="0" y="0"/>
                      <a:ext cx="1251585" cy="1280160"/>
                    </a:xfrm>
                    <a:prstGeom prst="rect"/>
                  </pic:spPr>
                </pic:pic>
              </a:graphicData>
            </a:graphic>
          </wp:inline>
        </w:drawing>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640" w:firstLineChars="200"/>
        <w:textAlignment w:val="auto"/>
        <w:rPr>
          <w:rFonts w:ascii="黑体" w:cs="黑体" w:eastAsia="黑体" w:hAnsi="黑体" w:hint="eastAsia"/>
          <w:b w:val="false"/>
          <w:bCs w:val="false"/>
          <w:color w:val="auto"/>
          <w:sz w:val="32"/>
          <w:szCs w:val="32"/>
        </w:rPr>
      </w:pPr>
      <w:r>
        <w:rPr>
          <w:rFonts w:ascii="黑体" w:cs="黑体" w:eastAsia="黑体" w:hAnsi="黑体" w:hint="eastAsia"/>
          <w:b w:val="false"/>
          <w:bCs w:val="false"/>
          <w:color w:val="auto"/>
          <w:sz w:val="32"/>
          <w:szCs w:val="32"/>
          <w:lang w:val="en-US" w:eastAsia="zh-CN"/>
        </w:rPr>
        <w:t>二、人才培养体系</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643" w:firstLineChars="200"/>
        <w:textAlignment w:val="auto"/>
        <w:rPr>
          <w:rFonts w:ascii="楷体_GB2312" w:cs="楷体_GB2312" w:eastAsia="楷体_GB2312" w:hAnsi="楷体_GB2312" w:hint="eastAsia"/>
          <w:b/>
          <w:bCs/>
          <w:color w:val="auto"/>
          <w:sz w:val="32"/>
          <w:szCs w:val="32"/>
          <w:lang w:val="en-US" w:eastAsia="zh-CN"/>
        </w:rPr>
      </w:pPr>
      <w:r>
        <w:rPr>
          <w:rFonts w:ascii="楷体_GB2312" w:cs="楷体_GB2312" w:eastAsia="楷体_GB2312" w:hAnsi="楷体_GB2312" w:hint="eastAsia"/>
          <w:b/>
          <w:bCs/>
          <w:color w:val="auto"/>
          <w:sz w:val="32"/>
          <w:szCs w:val="32"/>
          <w:lang w:val="en-US" w:eastAsia="zh-CN"/>
        </w:rPr>
        <w:t>（一）新员工“领航计划”</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643" w:firstLineChars="200"/>
        <w:textAlignment w:val="auto"/>
        <w:rPr>
          <w:rFonts w:ascii="仿宋_GB2312" w:cs="仿宋_GB2312" w:eastAsia="仿宋_GB2312" w:hAnsi="仿宋_GB2312" w:hint="eastAsia"/>
          <w:b/>
          <w:bCs/>
          <w:color w:val="auto"/>
          <w:sz w:val="32"/>
          <w:szCs w:val="32"/>
          <w:lang w:val="en-US" w:eastAsia="zh-CN"/>
        </w:rPr>
      </w:pPr>
      <w:r>
        <w:rPr>
          <w:rFonts w:ascii="仿宋_GB2312" w:cs="仿宋_GB2312" w:eastAsia="仿宋_GB2312" w:hAnsi="仿宋_GB2312" w:hint="eastAsia"/>
          <w:b/>
          <w:bCs/>
          <w:color w:val="auto"/>
          <w:sz w:val="32"/>
          <w:szCs w:val="32"/>
          <w:lang w:val="en-US" w:eastAsia="zh-CN"/>
        </w:rPr>
        <w:t>1.多层级入职培训</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default"/>
          <w:b w:val="false"/>
          <w:bCs w:val="false"/>
          <w:color w:val="auto"/>
          <w:sz w:val="32"/>
          <w:szCs w:val="32"/>
          <w:lang w:val="en-US" w:eastAsia="zh-CN"/>
        </w:rPr>
      </w:pPr>
      <w:r>
        <w:rPr>
          <w:rFonts w:ascii="仿宋_GB2312" w:cs="仿宋_GB2312" w:eastAsia="仿宋_GB2312" w:hAnsi="仿宋_GB2312" w:hint="eastAsia"/>
          <w:b w:val="false"/>
          <w:bCs w:val="false"/>
          <w:color w:val="auto"/>
          <w:sz w:val="32"/>
          <w:szCs w:val="32"/>
          <w:lang w:val="en-US" w:eastAsia="zh-CN"/>
        </w:rPr>
        <w:t>公司、分公司、项目部，分别组织开展入职培训及迎新活动，破冰之旅、内外部讲师授课、成长交流、户外素拓、风采展示等助你完成从“象牙白</w:t>
      </w:r>
      <w:bookmarkStart w:id="0" w:name="_GoBack"/>
      <w:bookmarkEnd w:id="0"/>
      <w:r>
        <w:rPr>
          <w:rFonts w:ascii="仿宋_GB2312" w:cs="仿宋_GB2312" w:eastAsia="仿宋_GB2312" w:hAnsi="仿宋_GB2312" w:hint="eastAsia"/>
          <w:b w:val="false"/>
          <w:bCs w:val="false"/>
          <w:color w:val="auto"/>
          <w:sz w:val="32"/>
          <w:szCs w:val="32"/>
          <w:lang w:val="en-US" w:eastAsia="zh-CN"/>
        </w:rPr>
        <w:t>”到“中建蓝”的角色转换。</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643" w:firstLineChars="200"/>
        <w:textAlignment w:val="auto"/>
        <w:rPr>
          <w:rFonts w:ascii="仿宋_GB2312" w:cs="仿宋_GB2312" w:eastAsia="仿宋_GB2312" w:hAnsi="仿宋_GB2312" w:hint="eastAsia"/>
          <w:b/>
          <w:bCs/>
          <w:color w:val="auto"/>
          <w:sz w:val="32"/>
          <w:szCs w:val="32"/>
          <w:lang w:val="en-US" w:eastAsia="zh-CN"/>
        </w:rPr>
      </w:pPr>
      <w:r>
        <w:rPr>
          <w:rFonts w:ascii="仿宋_GB2312" w:cs="仿宋_GB2312" w:eastAsia="仿宋_GB2312" w:hAnsi="仿宋_GB2312" w:hint="eastAsia"/>
          <w:b/>
          <w:bCs/>
          <w:color w:val="auto"/>
          <w:sz w:val="32"/>
          <w:szCs w:val="32"/>
          <w:lang w:val="en-US" w:eastAsia="zh-CN"/>
        </w:rPr>
        <w:t>2.“246”见习培养</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eastAsia"/>
          <w:b w:val="false"/>
          <w:bCs w:val="false"/>
          <w:color w:val="auto"/>
          <w:sz w:val="32"/>
          <w:szCs w:val="32"/>
          <w:lang w:val="en-US" w:eastAsia="zh-CN"/>
        </w:rPr>
      </w:pPr>
      <w:r>
        <w:rPr>
          <w:rFonts w:ascii="仿宋_GB2312" w:cs="仿宋_GB2312" w:eastAsia="仿宋_GB2312" w:hAnsi="仿宋_GB2312" w:hint="eastAsia"/>
          <w:b w:val="false"/>
          <w:bCs w:val="false"/>
          <w:color w:val="auto"/>
          <w:sz w:val="32"/>
          <w:szCs w:val="32"/>
          <w:lang w:val="en-US" w:eastAsia="zh-CN"/>
        </w:rPr>
        <w:t>2个月项目班组跟班见习、4个月项目管理岗位轮岗见习、6个月定岗岗位见习，带你了解施工现场和班组作业的基本知识，掌握项目管理工作的职责、流程、制度，为之后的定岗选择做准备。</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643" w:firstLineChars="200"/>
        <w:textAlignment w:val="auto"/>
        <w:rPr>
          <w:rFonts w:ascii="仿宋_GB2312" w:cs="仿宋_GB2312" w:eastAsia="仿宋_GB2312" w:hAnsi="仿宋_GB2312" w:hint="eastAsia"/>
          <w:b/>
          <w:bCs/>
          <w:color w:val="auto"/>
          <w:sz w:val="32"/>
          <w:szCs w:val="32"/>
          <w:lang w:val="en-US" w:eastAsia="zh-CN"/>
        </w:rPr>
      </w:pPr>
      <w:r>
        <w:rPr>
          <w:rFonts w:ascii="仿宋_GB2312" w:cs="仿宋_GB2312" w:eastAsia="仿宋_GB2312" w:hAnsi="仿宋_GB2312" w:hint="eastAsia"/>
          <w:b/>
          <w:bCs/>
          <w:color w:val="auto"/>
          <w:sz w:val="32"/>
          <w:szCs w:val="32"/>
          <w:lang w:val="en-US" w:eastAsia="zh-CN"/>
        </w:rPr>
        <w:t>3.导师带徒</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eastAsia"/>
          <w:b w:val="false"/>
          <w:bCs w:val="false"/>
          <w:color w:val="auto"/>
          <w:sz w:val="32"/>
          <w:szCs w:val="32"/>
          <w:lang w:val="en-US" w:eastAsia="zh-CN"/>
        </w:rPr>
      </w:pPr>
      <w:r>
        <w:rPr>
          <w:rFonts w:ascii="仿宋_GB2312" w:cs="仿宋_GB2312" w:eastAsia="仿宋_GB2312" w:hAnsi="仿宋_GB2312" w:hint="eastAsia"/>
          <w:b w:val="false"/>
          <w:bCs w:val="false"/>
          <w:color w:val="auto"/>
          <w:sz w:val="32"/>
          <w:szCs w:val="32"/>
          <w:lang w:val="en-US" w:eastAsia="zh-CN"/>
        </w:rPr>
        <w:t>新员工培养实行“师带徒”的双导师培养，从轮岗见习开始，为每个新员工指定一名成长导师以及一名专业导师。专业导师负责指导项目实践专业知识与内容，成长导师负责协助制定职业生涯规划，答疑解惑。</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643" w:firstLineChars="200"/>
        <w:textAlignment w:val="auto"/>
        <w:rPr>
          <w:rFonts w:ascii="楷体_GB2312" w:cs="楷体_GB2312" w:eastAsia="楷体_GB2312" w:hAnsi="楷体_GB2312" w:hint="default"/>
          <w:b/>
          <w:bCs/>
          <w:color w:val="auto"/>
          <w:sz w:val="32"/>
          <w:szCs w:val="32"/>
          <w:lang w:val="en-US" w:eastAsia="zh-CN"/>
        </w:rPr>
      </w:pPr>
      <w:r>
        <w:rPr>
          <w:rFonts w:ascii="楷体_GB2312" w:cs="楷体_GB2312" w:eastAsia="楷体_GB2312" w:hAnsi="楷体_GB2312" w:hint="eastAsia"/>
          <w:b/>
          <w:bCs/>
          <w:color w:val="auto"/>
          <w:sz w:val="32"/>
          <w:szCs w:val="32"/>
          <w:lang w:val="en-US" w:eastAsia="zh-CN"/>
        </w:rPr>
        <w:t>（二）职业生涯发展“三京计划”</w:t>
      </w:r>
    </w:p>
    <w:p>
      <w:pPr>
        <w:pStyle w:val="style0"/>
        <w:keepNext w:val="false"/>
        <w:keepLines w:val="false"/>
        <w:pageBreakBefore w:val="false"/>
        <w:widowControl w:val="false"/>
        <w:kinsoku/>
        <w:wordWrap/>
        <w:overflowPunct/>
        <w:topLinePunct w:val="false"/>
        <w:autoSpaceDE/>
        <w:autoSpaceDN/>
        <w:bidi w:val="false"/>
        <w:adjustRightInd/>
        <w:snapToGrid/>
        <w:ind w:firstLine="643" w:firstLineChars="200"/>
        <w:textAlignment w:val="auto"/>
        <w:rPr>
          <w:rFonts w:ascii="仿宋_GB2312" w:cs="仿宋_GB2312" w:eastAsia="仿宋_GB2312" w:hAnsi="仿宋_GB2312" w:hint="default"/>
          <w:b w:val="false"/>
          <w:bCs w:val="false"/>
          <w:color w:val="000000"/>
          <w:kern w:val="0"/>
          <w:sz w:val="32"/>
          <w:szCs w:val="32"/>
          <w:lang w:val="en-US" w:eastAsia="zh-CN"/>
        </w:rPr>
      </w:pPr>
      <w:r>
        <w:rPr>
          <w:rFonts w:ascii="仿宋_GB2312" w:cs="仿宋_GB2312" w:eastAsia="仿宋_GB2312" w:hAnsi="仿宋_GB2312" w:hint="eastAsia"/>
          <w:b/>
          <w:bCs/>
          <w:color w:val="000000"/>
          <w:kern w:val="0"/>
          <w:sz w:val="32"/>
          <w:szCs w:val="32"/>
          <w:lang w:val="en-US" w:eastAsia="zh-CN"/>
        </w:rPr>
        <w:t>“京青年”</w:t>
      </w:r>
      <w:r>
        <w:rPr>
          <w:rFonts w:ascii="仿宋_GB2312" w:cs="仿宋_GB2312" w:eastAsia="仿宋_GB2312" w:hAnsi="仿宋_GB2312" w:hint="eastAsia"/>
          <w:b w:val="false"/>
          <w:bCs w:val="false"/>
          <w:color w:val="000000"/>
          <w:kern w:val="0"/>
          <w:sz w:val="32"/>
          <w:szCs w:val="32"/>
          <w:lang w:val="en-US" w:eastAsia="zh-CN"/>
        </w:rPr>
        <w:t>优秀青年员工培养计划、</w:t>
      </w:r>
      <w:r>
        <w:rPr>
          <w:rFonts w:ascii="仿宋_GB2312" w:cs="仿宋_GB2312" w:eastAsia="仿宋_GB2312" w:hAnsi="仿宋_GB2312" w:hint="eastAsia"/>
          <w:b/>
          <w:bCs/>
          <w:color w:val="000000"/>
          <w:kern w:val="0"/>
          <w:sz w:val="32"/>
          <w:szCs w:val="32"/>
          <w:lang w:val="en-US" w:eastAsia="zh-CN"/>
        </w:rPr>
        <w:t>“京先锋”</w:t>
      </w:r>
      <w:r>
        <w:rPr>
          <w:rFonts w:ascii="仿宋_GB2312" w:cs="仿宋_GB2312" w:eastAsia="仿宋_GB2312" w:hAnsi="仿宋_GB2312" w:hint="eastAsia"/>
          <w:b w:val="false"/>
          <w:bCs w:val="false"/>
          <w:color w:val="000000"/>
          <w:kern w:val="0"/>
          <w:sz w:val="32"/>
          <w:szCs w:val="32"/>
          <w:lang w:val="en-US" w:eastAsia="zh-CN"/>
        </w:rPr>
        <w:t>项目经理暨后备项目经理培养计划、</w:t>
      </w:r>
      <w:r>
        <w:rPr>
          <w:rFonts w:ascii="仿宋_GB2312" w:cs="仿宋_GB2312" w:eastAsia="仿宋_GB2312" w:hAnsi="仿宋_GB2312" w:hint="eastAsia"/>
          <w:b/>
          <w:bCs/>
          <w:color w:val="000000"/>
          <w:kern w:val="0"/>
          <w:sz w:val="32"/>
          <w:szCs w:val="32"/>
          <w:lang w:val="en-US" w:eastAsia="zh-CN"/>
        </w:rPr>
        <w:t>“京领航”</w:t>
      </w:r>
      <w:r>
        <w:rPr>
          <w:rFonts w:ascii="仿宋_GB2312" w:cs="仿宋_GB2312" w:eastAsia="仿宋_GB2312" w:hAnsi="仿宋_GB2312" w:hint="eastAsia"/>
          <w:b w:val="false"/>
          <w:bCs w:val="false"/>
          <w:color w:val="000000"/>
          <w:kern w:val="0"/>
          <w:sz w:val="32"/>
          <w:szCs w:val="32"/>
          <w:lang w:val="en-US" w:eastAsia="zh-CN"/>
        </w:rPr>
        <w:t>中高层领导干部暨后备干部培养计划，全方位、全周期跟踪培养，职业生涯发展不迷茫。</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黑体" w:cs="黑体" w:eastAsia="黑体" w:hAnsi="黑体" w:hint="eastAsia"/>
          <w:b w:val="false"/>
          <w:bCs w:val="false"/>
          <w:color w:val="auto"/>
          <w:sz w:val="32"/>
          <w:szCs w:val="32"/>
          <w:lang w:val="en-US" w:eastAsia="zh-CN"/>
        </w:rPr>
      </w:pPr>
      <w:r>
        <w:rPr>
          <w:rFonts w:ascii="黑体" w:cs="黑体" w:eastAsia="黑体" w:hAnsi="黑体" w:hint="eastAsia"/>
          <w:b w:val="false"/>
          <w:bCs w:val="false"/>
          <w:color w:val="auto"/>
          <w:sz w:val="32"/>
          <w:szCs w:val="32"/>
        </w:rPr>
        <w:t>三、</w:t>
      </w:r>
      <w:r>
        <w:rPr>
          <w:rFonts w:ascii="黑体" w:cs="黑体" w:eastAsia="黑体" w:hAnsi="黑体" w:hint="eastAsia"/>
          <w:b w:val="false"/>
          <w:bCs w:val="false"/>
          <w:color w:val="auto"/>
          <w:sz w:val="32"/>
          <w:szCs w:val="32"/>
          <w:lang w:val="en-US" w:eastAsia="zh-CN"/>
        </w:rPr>
        <w:t>福利待遇</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default"/>
          <w:color w:val="auto"/>
          <w:sz w:val="32"/>
          <w:szCs w:val="32"/>
          <w:lang w:val="en-US" w:eastAsia="zh-CN"/>
        </w:rPr>
      </w:pPr>
      <w:r>
        <w:rPr>
          <w:rFonts w:ascii="仿宋_GB2312" w:cs="仿宋_GB2312" w:eastAsia="仿宋_GB2312" w:hAnsi="仿宋_GB2312" w:hint="eastAsia"/>
          <w:color w:val="auto"/>
          <w:sz w:val="32"/>
          <w:szCs w:val="32"/>
          <w:lang w:eastAsia="zh-CN"/>
        </w:rPr>
        <w:t>五险二金、绩效奖金、专项奖金、住房补贴、交通补贴、年功津贴、执业津贴、项目施工津贴、项目规模津贴、餐饮补贴、地区补贴等。</w:t>
      </w:r>
      <w:r>
        <w:rPr>
          <w:rFonts w:ascii="仿宋_GB2312" w:cs="仿宋_GB2312" w:eastAsia="仿宋_GB2312" w:hAnsi="仿宋_GB2312" w:hint="eastAsia"/>
          <w:color w:val="auto"/>
          <w:sz w:val="32"/>
          <w:szCs w:val="32"/>
          <w:lang w:val="en-US" w:eastAsia="zh-CN"/>
        </w:rPr>
        <w:t>更有带薪年假、生日福利、节日福利、夏送清凉、冬送温暖、定期体检等福利。</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黑体" w:cs="黑体" w:eastAsia="黑体" w:hAnsi="黑体" w:hint="default"/>
          <w:b w:val="false"/>
          <w:bCs w:val="false"/>
          <w:color w:val="auto"/>
          <w:sz w:val="32"/>
          <w:szCs w:val="32"/>
          <w:lang w:val="en-US" w:eastAsia="zh-CN"/>
        </w:rPr>
      </w:pPr>
      <w:r>
        <w:rPr>
          <w:rFonts w:ascii="黑体" w:cs="黑体" w:eastAsia="黑体" w:hAnsi="黑体" w:hint="eastAsia"/>
          <w:b w:val="false"/>
          <w:bCs w:val="false"/>
          <w:color w:val="auto"/>
          <w:sz w:val="32"/>
          <w:szCs w:val="32"/>
          <w:lang w:eastAsia="zh-CN"/>
        </w:rPr>
        <w:t>四、</w:t>
      </w:r>
      <w:r>
        <w:rPr>
          <w:rFonts w:ascii="黑体" w:cs="黑体" w:eastAsia="黑体" w:hAnsi="黑体" w:hint="eastAsia"/>
          <w:b w:val="false"/>
          <w:bCs w:val="false"/>
          <w:color w:val="auto"/>
          <w:sz w:val="32"/>
          <w:szCs w:val="32"/>
          <w:lang w:val="en-US" w:eastAsia="zh-CN"/>
        </w:rPr>
        <w:t>招聘单位及</w:t>
      </w:r>
      <w:r>
        <w:rPr>
          <w:rFonts w:ascii="黑体" w:cs="黑体" w:eastAsia="黑体" w:hAnsi="黑体" w:hint="eastAsia"/>
          <w:b w:val="false"/>
          <w:bCs w:val="false"/>
          <w:color w:val="auto"/>
          <w:sz w:val="32"/>
          <w:szCs w:val="32"/>
          <w:lang w:eastAsia="zh-CN"/>
        </w:rPr>
        <w:t>工作区域</w:t>
      </w:r>
    </w:p>
    <w:tbl>
      <w:tblPr>
        <w:tblStyle w:val="style154"/>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12"/>
        <w:gridCol w:w="4245"/>
        <w:gridCol w:w="2073"/>
      </w:tblGrid>
      <w:tr>
        <w:trPr>
          <w:trHeight w:val="567" w:hRule="atLeast"/>
          <w:jc w:val="center"/>
        </w:trPr>
        <w:tc>
          <w:tcPr>
            <w:tcW w:w="241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eastAsia"/>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单位</w:t>
            </w:r>
          </w:p>
        </w:tc>
        <w:tc>
          <w:tcPr>
            <w:tcW w:w="424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eastAsia"/>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主营区域</w:t>
            </w:r>
          </w:p>
        </w:tc>
        <w:tc>
          <w:tcPr>
            <w:tcW w:w="207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总部所在地</w:t>
            </w:r>
          </w:p>
        </w:tc>
      </w:tr>
      <w:tr>
        <w:tblPrEx/>
        <w:trPr>
          <w:trHeight w:val="567" w:hRule="atLeast"/>
          <w:jc w:val="center"/>
        </w:trPr>
        <w:tc>
          <w:tcPr>
            <w:tcW w:w="241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公司总部</w:t>
            </w:r>
          </w:p>
        </w:tc>
        <w:tc>
          <w:tcPr>
            <w:tcW w:w="424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w:t>
            </w:r>
          </w:p>
        </w:tc>
        <w:tc>
          <w:tcPr>
            <w:tcW w:w="207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北京市</w:t>
            </w:r>
          </w:p>
        </w:tc>
      </w:tr>
      <w:tr>
        <w:tblPrEx/>
        <w:trPr>
          <w:trHeight w:val="567" w:hRule="atLeast"/>
          <w:jc w:val="center"/>
        </w:trPr>
        <w:tc>
          <w:tcPr>
            <w:tcW w:w="241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东北分公司</w:t>
            </w:r>
          </w:p>
        </w:tc>
        <w:tc>
          <w:tcPr>
            <w:tcW w:w="424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黑龙江、吉林、辽宁、山东</w:t>
            </w:r>
          </w:p>
        </w:tc>
        <w:tc>
          <w:tcPr>
            <w:tcW w:w="207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沈阳市</w:t>
            </w:r>
          </w:p>
        </w:tc>
      </w:tr>
      <w:tr>
        <w:tblPrEx/>
        <w:trPr>
          <w:trHeight w:val="567" w:hRule="atLeast"/>
          <w:jc w:val="center"/>
        </w:trPr>
        <w:tc>
          <w:tcPr>
            <w:tcW w:w="241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河北分公司</w:t>
            </w:r>
          </w:p>
        </w:tc>
        <w:tc>
          <w:tcPr>
            <w:tcW w:w="424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河北、山西</w:t>
            </w:r>
          </w:p>
        </w:tc>
        <w:tc>
          <w:tcPr>
            <w:tcW w:w="207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石家庄市</w:t>
            </w:r>
          </w:p>
        </w:tc>
      </w:tr>
      <w:tr>
        <w:tblPrEx/>
        <w:trPr>
          <w:trHeight w:val="567" w:hRule="atLeast"/>
          <w:jc w:val="center"/>
        </w:trPr>
        <w:tc>
          <w:tcPr>
            <w:tcW w:w="241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总承包分公司</w:t>
            </w:r>
          </w:p>
        </w:tc>
        <w:tc>
          <w:tcPr>
            <w:tcW w:w="424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北京及环京地区</w:t>
            </w:r>
          </w:p>
        </w:tc>
        <w:tc>
          <w:tcPr>
            <w:tcW w:w="207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北京市</w:t>
            </w:r>
          </w:p>
        </w:tc>
      </w:tr>
      <w:tr>
        <w:tblPrEx/>
        <w:trPr>
          <w:trHeight w:val="567" w:hRule="atLeast"/>
          <w:jc w:val="center"/>
        </w:trPr>
        <w:tc>
          <w:tcPr>
            <w:tcW w:w="241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基础设施分公司</w:t>
            </w:r>
          </w:p>
        </w:tc>
        <w:tc>
          <w:tcPr>
            <w:tcW w:w="424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default"/>
                <w:color w:val="auto"/>
                <w:sz w:val="22"/>
                <w:szCs w:val="22"/>
                <w:vertAlign w:val="baseline"/>
                <w:lang w:val="en-US" w:eastAsia="zh-CN"/>
              </w:rPr>
              <w:t>全国范围内经营基础设施项目</w:t>
            </w:r>
          </w:p>
        </w:tc>
        <w:tc>
          <w:tcPr>
            <w:tcW w:w="207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北京市</w:t>
            </w:r>
          </w:p>
        </w:tc>
      </w:tr>
      <w:tr>
        <w:tblPrEx/>
        <w:trPr>
          <w:trHeight w:val="567" w:hRule="atLeast"/>
          <w:jc w:val="center"/>
        </w:trPr>
        <w:tc>
          <w:tcPr>
            <w:tcW w:w="241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default"/>
                <w:color w:val="auto"/>
                <w:sz w:val="22"/>
                <w:szCs w:val="22"/>
                <w:vertAlign w:val="baseline"/>
                <w:lang w:val="en-US" w:eastAsia="zh-CN"/>
              </w:rPr>
              <w:t>华北</w:t>
            </w:r>
            <w:r>
              <w:rPr>
                <w:rFonts w:ascii="仿宋_GB2312" w:cs="仿宋_GB2312" w:eastAsia="仿宋_GB2312" w:hAnsi="仿宋_GB2312" w:hint="eastAsia"/>
                <w:color w:val="auto"/>
                <w:sz w:val="22"/>
                <w:szCs w:val="22"/>
                <w:vertAlign w:val="baseline"/>
                <w:lang w:val="en-US" w:eastAsia="zh-CN"/>
              </w:rPr>
              <w:t>经理部</w:t>
            </w:r>
          </w:p>
        </w:tc>
        <w:tc>
          <w:tcPr>
            <w:tcW w:w="424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天津、山东</w:t>
            </w:r>
          </w:p>
        </w:tc>
        <w:tc>
          <w:tcPr>
            <w:tcW w:w="207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天津市</w:t>
            </w:r>
          </w:p>
        </w:tc>
      </w:tr>
      <w:tr>
        <w:tblPrEx/>
        <w:trPr>
          <w:trHeight w:val="567" w:hRule="atLeast"/>
          <w:jc w:val="center"/>
        </w:trPr>
        <w:tc>
          <w:tcPr>
            <w:tcW w:w="241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青岛营销中心</w:t>
            </w:r>
          </w:p>
        </w:tc>
        <w:tc>
          <w:tcPr>
            <w:tcW w:w="424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山东</w:t>
            </w:r>
          </w:p>
        </w:tc>
        <w:tc>
          <w:tcPr>
            <w:tcW w:w="207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青岛市</w:t>
            </w:r>
          </w:p>
        </w:tc>
      </w:tr>
      <w:tr>
        <w:tblPrEx/>
        <w:trPr>
          <w:trHeight w:val="567" w:hRule="atLeast"/>
          <w:jc w:val="center"/>
        </w:trPr>
        <w:tc>
          <w:tcPr>
            <w:tcW w:w="241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电子工程事业部</w:t>
            </w:r>
          </w:p>
        </w:tc>
        <w:tc>
          <w:tcPr>
            <w:tcW w:w="424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eastAsia"/>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北京、天津、山东</w:t>
            </w:r>
          </w:p>
        </w:tc>
        <w:tc>
          <w:tcPr>
            <w:tcW w:w="207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北京市</w:t>
            </w:r>
          </w:p>
        </w:tc>
      </w:tr>
      <w:tr>
        <w:tblPrEx/>
        <w:trPr>
          <w:trHeight w:val="567" w:hRule="atLeast"/>
          <w:jc w:val="center"/>
        </w:trPr>
        <w:tc>
          <w:tcPr>
            <w:tcW w:w="241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新型业务事业部</w:t>
            </w:r>
          </w:p>
        </w:tc>
        <w:tc>
          <w:tcPr>
            <w:tcW w:w="424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北京、河北、山东</w:t>
            </w:r>
          </w:p>
        </w:tc>
        <w:tc>
          <w:tcPr>
            <w:tcW w:w="207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_GB2312" w:cs="仿宋_GB2312" w:eastAsia="仿宋_GB2312" w:hAnsi="仿宋_GB2312" w:hint="default"/>
                <w:color w:val="auto"/>
                <w:sz w:val="22"/>
                <w:szCs w:val="22"/>
                <w:vertAlign w:val="baseline"/>
                <w:lang w:val="en-US" w:eastAsia="zh-CN"/>
              </w:rPr>
            </w:pPr>
            <w:r>
              <w:rPr>
                <w:rFonts w:ascii="仿宋_GB2312" w:cs="仿宋_GB2312" w:eastAsia="仿宋_GB2312" w:hAnsi="仿宋_GB2312" w:hint="eastAsia"/>
                <w:color w:val="auto"/>
                <w:sz w:val="22"/>
                <w:szCs w:val="22"/>
                <w:vertAlign w:val="baseline"/>
                <w:lang w:val="en-US" w:eastAsia="zh-CN"/>
              </w:rPr>
              <w:t>北京市</w:t>
            </w:r>
          </w:p>
        </w:tc>
      </w:tr>
    </w:tbl>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黑体" w:cs="黑体" w:eastAsia="黑体" w:hAnsi="黑体" w:hint="default"/>
          <w:b w:val="false"/>
          <w:bCs w:val="false"/>
          <w:color w:val="auto"/>
          <w:sz w:val="32"/>
          <w:szCs w:val="32"/>
          <w:lang w:val="en-US" w:eastAsia="zh-CN"/>
        </w:rPr>
      </w:pPr>
      <w:r>
        <w:rPr>
          <w:rFonts w:ascii="黑体" w:cs="黑体" w:eastAsia="黑体" w:hAnsi="黑体" w:hint="eastAsia"/>
          <w:b w:val="false"/>
          <w:bCs w:val="false"/>
          <w:color w:val="auto"/>
          <w:sz w:val="32"/>
          <w:szCs w:val="32"/>
        </w:rPr>
        <w:t>五、招聘</w:t>
      </w:r>
      <w:r>
        <w:rPr>
          <w:rFonts w:ascii="黑体" w:cs="黑体" w:eastAsia="黑体" w:hAnsi="黑体" w:hint="eastAsia"/>
          <w:b w:val="false"/>
          <w:bCs w:val="false"/>
          <w:color w:val="auto"/>
          <w:sz w:val="32"/>
          <w:szCs w:val="32"/>
          <w:lang w:val="en-US" w:eastAsia="zh-CN"/>
        </w:rPr>
        <w:t>专业及任职要求</w:t>
      </w:r>
    </w:p>
    <w:p>
      <w:pPr>
        <w:pStyle w:val="style0"/>
        <w:keepNext w:val="false"/>
        <w:keepLines w:val="false"/>
        <w:pageBreakBefore w:val="false"/>
        <w:widowControl w:val="false"/>
        <w:kinsoku/>
        <w:wordWrap/>
        <w:overflowPunct/>
        <w:topLinePunct w:val="false"/>
        <w:autoSpaceDE/>
        <w:autoSpaceDN/>
        <w:bidi w:val="false"/>
        <w:adjustRightInd/>
        <w:snapToGrid/>
        <w:ind w:firstLine="643" w:firstLineChars="200"/>
        <w:textAlignment w:val="auto"/>
        <w:rPr>
          <w:rFonts w:ascii="楷体_GB2312" w:cs="楷体_GB2312" w:eastAsia="楷体_GB2312" w:hAnsi="楷体_GB2312" w:hint="default"/>
          <w:b/>
          <w:bCs/>
          <w:color w:val="auto"/>
          <w:sz w:val="32"/>
          <w:szCs w:val="32"/>
          <w:lang w:val="en-US" w:eastAsia="zh-CN"/>
        </w:rPr>
      </w:pPr>
      <w:r>
        <w:rPr>
          <w:rFonts w:ascii="楷体_GB2312" w:cs="楷体_GB2312" w:eastAsia="楷体_GB2312" w:hAnsi="楷体_GB2312" w:hint="eastAsia"/>
          <w:b/>
          <w:bCs/>
          <w:color w:val="auto"/>
          <w:sz w:val="32"/>
          <w:szCs w:val="32"/>
          <w:lang w:val="en-US" w:eastAsia="zh-CN"/>
        </w:rPr>
        <w:t>（一）招聘专业</w:t>
      </w:r>
    </w:p>
    <w:p>
      <w:pPr>
        <w:pStyle w:val="style0"/>
        <w:keepNext w:val="false"/>
        <w:keepLines w:val="false"/>
        <w:pageBreakBefore w:val="false"/>
        <w:widowControl w:val="false"/>
        <w:kinsoku/>
        <w:wordWrap/>
        <w:overflowPunct/>
        <w:topLinePunct w:val="false"/>
        <w:autoSpaceDE/>
        <w:autoSpaceDN/>
        <w:bidi w:val="false"/>
        <w:adjustRightInd/>
        <w:snapToGrid/>
        <w:ind w:firstLine="643"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b/>
          <w:bCs/>
          <w:color w:val="auto"/>
          <w:sz w:val="32"/>
          <w:szCs w:val="32"/>
          <w:lang w:val="en-US" w:eastAsia="zh-CN"/>
        </w:rPr>
        <w:t>1.</w:t>
      </w:r>
      <w:r>
        <w:rPr>
          <w:rFonts w:ascii="仿宋_GB2312" w:cs="仿宋_GB2312" w:eastAsia="仿宋_GB2312" w:hAnsi="仿宋_GB2312" w:hint="eastAsia"/>
          <w:b/>
          <w:bCs/>
          <w:color w:val="auto"/>
          <w:sz w:val="32"/>
          <w:szCs w:val="32"/>
        </w:rPr>
        <w:t>房屋建筑类</w:t>
      </w:r>
      <w:r>
        <w:rPr>
          <w:rFonts w:ascii="仿宋_GB2312" w:cs="仿宋_GB2312" w:eastAsia="仿宋_GB2312" w:hAnsi="仿宋_GB2312" w:hint="eastAsia"/>
          <w:b/>
          <w:bCs/>
          <w:color w:val="auto"/>
          <w:sz w:val="32"/>
          <w:szCs w:val="32"/>
          <w:lang w:eastAsia="zh-CN"/>
        </w:rPr>
        <w:t>：</w:t>
      </w:r>
      <w:r>
        <w:rPr>
          <w:rFonts w:ascii="仿宋_GB2312" w:cs="仿宋_GB2312" w:eastAsia="仿宋_GB2312" w:hAnsi="仿宋_GB2312" w:hint="eastAsia"/>
          <w:sz w:val="32"/>
          <w:szCs w:val="32"/>
          <w:lang w:val="en-US" w:eastAsia="zh-CN"/>
        </w:rPr>
        <w:t>土木工程、工程力学、工程造价、工程管理、安全工程、机械工程、材料科学与工程、电气工程、建筑环境与能源应用工程、给排水科学与工程、城市地下空间、建筑学等。</w:t>
      </w:r>
    </w:p>
    <w:p>
      <w:pPr>
        <w:pStyle w:val="style0"/>
        <w:keepNext w:val="false"/>
        <w:keepLines w:val="false"/>
        <w:pageBreakBefore w:val="false"/>
        <w:widowControl w:val="false"/>
        <w:kinsoku/>
        <w:wordWrap/>
        <w:overflowPunct/>
        <w:topLinePunct w:val="false"/>
        <w:autoSpaceDE/>
        <w:autoSpaceDN/>
        <w:bidi w:val="false"/>
        <w:adjustRightInd/>
        <w:snapToGrid/>
        <w:ind w:firstLine="643"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b/>
          <w:bCs/>
          <w:color w:val="auto"/>
          <w:sz w:val="32"/>
          <w:szCs w:val="32"/>
          <w:lang w:val="en-US" w:eastAsia="zh-CN"/>
        </w:rPr>
        <w:t>2.</w:t>
      </w:r>
      <w:r>
        <w:rPr>
          <w:rFonts w:ascii="仿宋_GB2312" w:cs="仿宋_GB2312" w:eastAsia="仿宋_GB2312" w:hAnsi="仿宋_GB2312" w:hint="eastAsia"/>
          <w:b/>
          <w:bCs/>
          <w:color w:val="auto"/>
          <w:sz w:val="32"/>
          <w:szCs w:val="32"/>
        </w:rPr>
        <w:t>基础设施类</w:t>
      </w:r>
      <w:r>
        <w:rPr>
          <w:rFonts w:ascii="仿宋_GB2312" w:cs="仿宋_GB2312" w:eastAsia="仿宋_GB2312" w:hAnsi="仿宋_GB2312" w:hint="eastAsia"/>
          <w:b/>
          <w:bCs/>
          <w:color w:val="auto"/>
          <w:sz w:val="32"/>
          <w:szCs w:val="32"/>
          <w:lang w:eastAsia="zh-CN"/>
        </w:rPr>
        <w:t>：</w:t>
      </w:r>
      <w:r>
        <w:rPr>
          <w:rFonts w:ascii="仿宋_GB2312" w:cs="仿宋_GB2312" w:eastAsia="仿宋_GB2312" w:hAnsi="仿宋_GB2312" w:hint="eastAsia"/>
          <w:sz w:val="32"/>
          <w:szCs w:val="32"/>
          <w:lang w:val="en-US" w:eastAsia="zh-CN"/>
        </w:rPr>
        <w:t>市政工程、道路桥梁与渡河工程、交通工程、水务工程、勘察技术与工程、水利水电工程等。</w:t>
      </w:r>
    </w:p>
    <w:p>
      <w:pPr>
        <w:pStyle w:val="style0"/>
        <w:keepNext w:val="false"/>
        <w:keepLines w:val="false"/>
        <w:pageBreakBefore w:val="false"/>
        <w:widowControl w:val="false"/>
        <w:kinsoku/>
        <w:wordWrap/>
        <w:overflowPunct/>
        <w:topLinePunct w:val="false"/>
        <w:autoSpaceDE/>
        <w:autoSpaceDN/>
        <w:bidi w:val="false"/>
        <w:adjustRightInd/>
        <w:snapToGrid/>
        <w:ind w:firstLine="643"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b/>
          <w:bCs/>
          <w:color w:val="auto"/>
          <w:sz w:val="32"/>
          <w:szCs w:val="32"/>
          <w:lang w:val="en-US" w:eastAsia="zh-CN"/>
        </w:rPr>
        <w:t>3.</w:t>
      </w:r>
      <w:r>
        <w:rPr>
          <w:rFonts w:ascii="仿宋_GB2312" w:cs="仿宋_GB2312" w:eastAsia="仿宋_GB2312" w:hAnsi="仿宋_GB2312" w:hint="eastAsia"/>
          <w:b/>
          <w:bCs/>
          <w:color w:val="auto"/>
          <w:sz w:val="32"/>
          <w:szCs w:val="32"/>
        </w:rPr>
        <w:t>职能管理类</w:t>
      </w: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eastAsia"/>
          <w:sz w:val="32"/>
          <w:szCs w:val="32"/>
          <w:lang w:val="en-US" w:eastAsia="zh-CN"/>
        </w:rPr>
        <w:t>财务管理、会计学、金融学、法律（含法硕非法学）、政治学与行政学、思想政治教育、汉语言文学、新闻学、管理科学与工程、工商管理、人力资源管理、行政管理等</w:t>
      </w:r>
      <w:r>
        <w:rPr>
          <w:rFonts w:ascii="仿宋_GB2312" w:cs="仿宋_GB2312" w:eastAsia="仿宋_GB2312" w:hAnsi="仿宋_GB2312" w:hint="eastAsia"/>
          <w:color w:val="auto"/>
          <w:sz w:val="32"/>
          <w:szCs w:val="32"/>
        </w:rPr>
        <w:t>。</w:t>
      </w:r>
    </w:p>
    <w:p>
      <w:pPr>
        <w:pStyle w:val="style0"/>
        <w:keepNext w:val="false"/>
        <w:keepLines w:val="false"/>
        <w:pageBreakBefore w:val="false"/>
        <w:widowControl w:val="false"/>
        <w:kinsoku/>
        <w:wordWrap/>
        <w:overflowPunct/>
        <w:topLinePunct w:val="false"/>
        <w:autoSpaceDE/>
        <w:autoSpaceDN/>
        <w:bidi w:val="false"/>
        <w:adjustRightInd/>
        <w:snapToGrid/>
        <w:ind w:firstLine="643" w:firstLineChars="200"/>
        <w:textAlignment w:val="auto"/>
        <w:rPr>
          <w:rFonts w:ascii="楷体_GB2312" w:cs="楷体_GB2312" w:eastAsia="楷体_GB2312" w:hAnsi="楷体_GB2312" w:hint="eastAsia"/>
          <w:b/>
          <w:bCs/>
          <w:color w:val="auto"/>
          <w:sz w:val="32"/>
          <w:szCs w:val="32"/>
          <w:lang w:val="en-US" w:eastAsia="zh-CN"/>
        </w:rPr>
      </w:pPr>
      <w:r>
        <w:rPr>
          <w:rFonts w:ascii="楷体_GB2312" w:cs="楷体_GB2312" w:eastAsia="楷体_GB2312" w:hAnsi="楷体_GB2312" w:hint="eastAsia"/>
          <w:b/>
          <w:bCs/>
          <w:color w:val="auto"/>
          <w:sz w:val="32"/>
          <w:szCs w:val="32"/>
          <w:lang w:val="en-US" w:eastAsia="zh-CN"/>
        </w:rPr>
        <w:t>（二）任职要求</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rPr>
        <w:t>1.202</w:t>
      </w:r>
      <w:r>
        <w:rPr>
          <w:rFonts w:ascii="仿宋_GB2312" w:cs="仿宋_GB2312" w:eastAsia="仿宋_GB2312" w:hAnsi="仿宋_GB2312" w:hint="eastAsia"/>
          <w:color w:val="auto"/>
          <w:sz w:val="32"/>
          <w:szCs w:val="32"/>
          <w:lang w:val="en-US" w:eastAsia="zh-CN"/>
        </w:rPr>
        <w:t>4</w:t>
      </w:r>
      <w:r>
        <w:rPr>
          <w:rFonts w:ascii="仿宋_GB2312" w:cs="仿宋_GB2312" w:eastAsia="仿宋_GB2312" w:hAnsi="仿宋_GB2312" w:hint="eastAsia"/>
          <w:color w:val="auto"/>
          <w:sz w:val="32"/>
          <w:szCs w:val="32"/>
        </w:rPr>
        <w:t>届应届本科及以上学历；</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eastAsia"/>
          <w:color w:val="auto"/>
          <w:sz w:val="32"/>
          <w:szCs w:val="32"/>
          <w:lang w:val="en-US" w:eastAsia="zh-CN"/>
        </w:rPr>
      </w:pPr>
      <w:r>
        <w:rPr>
          <w:rFonts w:ascii="仿宋_GB2312" w:cs="仿宋_GB2312" w:eastAsia="仿宋_GB2312" w:hAnsi="仿宋_GB2312" w:hint="eastAsia"/>
          <w:color w:val="auto"/>
          <w:sz w:val="32"/>
          <w:szCs w:val="32"/>
          <w:lang w:val="en-US" w:eastAsia="zh-CN"/>
        </w:rPr>
        <w:t>2.身体素质好，能吃苦耐劳；</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eastAsia"/>
          <w:color w:val="auto"/>
          <w:sz w:val="32"/>
          <w:szCs w:val="32"/>
          <w:lang w:val="en-US" w:eastAsia="zh-CN"/>
        </w:rPr>
      </w:pPr>
      <w:r>
        <w:rPr>
          <w:rFonts w:ascii="仿宋_GB2312" w:cs="仿宋_GB2312" w:eastAsia="仿宋_GB2312" w:hAnsi="仿宋_GB2312" w:hint="eastAsia"/>
          <w:color w:val="auto"/>
          <w:sz w:val="32"/>
          <w:szCs w:val="32"/>
          <w:lang w:val="en-US" w:eastAsia="zh-CN"/>
        </w:rPr>
        <w:t>3.思想进步，追求上进，遵纪守法，品行端正，有较强责任心与服务意识；</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eastAsia"/>
          <w:color w:val="auto"/>
          <w:sz w:val="32"/>
          <w:szCs w:val="32"/>
          <w:lang w:val="en-US" w:eastAsia="zh-CN"/>
        </w:rPr>
      </w:pPr>
      <w:r>
        <w:rPr>
          <w:rFonts w:ascii="仿宋_GB2312" w:cs="仿宋_GB2312" w:eastAsia="仿宋_GB2312" w:hAnsi="仿宋_GB2312" w:hint="eastAsia"/>
          <w:color w:val="auto"/>
          <w:sz w:val="32"/>
          <w:szCs w:val="32"/>
          <w:lang w:val="en-US" w:eastAsia="zh-CN"/>
        </w:rPr>
        <w:t>4.对中建企业文化有较高认同感；</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default"/>
          <w:color w:val="auto"/>
          <w:sz w:val="32"/>
          <w:szCs w:val="32"/>
          <w:lang w:val="en-US" w:eastAsia="zh-CN"/>
        </w:rPr>
      </w:pPr>
      <w:r>
        <w:rPr>
          <w:rFonts w:ascii="仿宋_GB2312" w:cs="仿宋_GB2312" w:eastAsia="仿宋_GB2312" w:hAnsi="仿宋_GB2312" w:hint="eastAsia"/>
          <w:color w:val="auto"/>
          <w:sz w:val="32"/>
          <w:szCs w:val="32"/>
          <w:lang w:val="en-US" w:eastAsia="zh-CN"/>
        </w:rPr>
        <w:t>5.有学生会、社团等工作经验优先；中共党员优先；</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default"/>
          <w:color w:val="auto"/>
          <w:sz w:val="32"/>
          <w:szCs w:val="32"/>
          <w:lang w:val="en-US" w:eastAsia="zh-CN"/>
        </w:rPr>
      </w:pPr>
      <w:r>
        <w:rPr>
          <w:rFonts w:ascii="仿宋_GB2312" w:cs="仿宋_GB2312" w:eastAsia="仿宋_GB2312" w:hAnsi="仿宋_GB2312" w:hint="eastAsia"/>
          <w:color w:val="auto"/>
          <w:sz w:val="32"/>
          <w:szCs w:val="32"/>
          <w:lang w:val="en-US" w:eastAsia="zh-CN"/>
        </w:rPr>
        <w:t>6.服从公司安排。</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黑体" w:cs="黑体" w:eastAsia="黑体" w:hAnsi="黑体" w:hint="eastAsia"/>
          <w:b w:val="false"/>
          <w:bCs w:val="false"/>
          <w:color w:val="auto"/>
          <w:sz w:val="32"/>
          <w:szCs w:val="32"/>
        </w:rPr>
      </w:pPr>
      <w:r>
        <w:rPr>
          <w:rFonts w:ascii="黑体" w:cs="黑体" w:eastAsia="黑体" w:hAnsi="黑体" w:hint="eastAsia"/>
          <w:b w:val="false"/>
          <w:bCs w:val="false"/>
          <w:color w:val="auto"/>
          <w:sz w:val="32"/>
          <w:szCs w:val="32"/>
          <w:lang w:val="en-US" w:eastAsia="zh-CN"/>
        </w:rPr>
        <w:t>六</w:t>
      </w:r>
      <w:r>
        <w:rPr>
          <w:rFonts w:ascii="黑体" w:cs="黑体" w:eastAsia="黑体" w:hAnsi="黑体" w:hint="eastAsia"/>
          <w:b w:val="false"/>
          <w:bCs w:val="false"/>
          <w:color w:val="auto"/>
          <w:sz w:val="32"/>
          <w:szCs w:val="32"/>
        </w:rPr>
        <w:t>、校招流程</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jc w:val="left"/>
        <w:textAlignment w:val="auto"/>
        <w:rPr>
          <w:rFonts w:ascii="仿宋_GB2312" w:cs="仿宋_GB2312" w:eastAsia="仿宋_GB2312" w:hAnsi="仿宋_GB2312" w:hint="eastAsia"/>
          <w:color w:val="auto"/>
          <w:sz w:val="32"/>
          <w:szCs w:val="32"/>
          <w:lang w:val="en-US" w:eastAsia="zh-CN"/>
        </w:rPr>
      </w:pPr>
      <w:r>
        <w:rPr>
          <w:rFonts w:ascii="仿宋_GB2312" w:cs="仿宋_GB2312" w:eastAsia="仿宋_GB2312" w:hAnsi="仿宋_GB2312" w:hint="eastAsia"/>
          <w:color w:val="auto"/>
          <w:sz w:val="32"/>
          <w:szCs w:val="32"/>
          <w:lang w:val="en-US" w:eastAsia="zh-CN"/>
        </w:rPr>
        <w:t>1.参加“中国建筑高校毕业生接收考试”。</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jc w:val="left"/>
        <w:textAlignment w:val="auto"/>
        <w:rPr>
          <w:rFonts w:ascii="仿宋_GB2312" w:cs="仿宋_GB2312" w:eastAsia="仿宋_GB2312" w:hAnsi="仿宋_GB2312" w:hint="eastAsia"/>
          <w:color w:val="auto"/>
          <w:sz w:val="32"/>
          <w:szCs w:val="32"/>
          <w:lang w:val="en-US" w:eastAsia="zh-CN"/>
        </w:rPr>
      </w:pPr>
      <w:r>
        <w:rPr>
          <w:rFonts w:ascii="仿宋_GB2312" w:cs="仿宋_GB2312" w:eastAsia="仿宋_GB2312" w:hAnsi="仿宋_GB2312" w:hint="eastAsia"/>
          <w:color w:val="auto"/>
          <w:sz w:val="32"/>
          <w:szCs w:val="32"/>
          <w:lang w:val="en-US" w:eastAsia="zh-CN"/>
        </w:rPr>
        <w:t>2.参加校园招聘会，现场进行面试。应聘者应携带个人简历、在校成绩单及中国建筑高校毕业生接收考试系统测试成绩单等相关材料（还未完成测试的同学，可先至现场参加招聘会）。</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jc w:val="left"/>
        <w:textAlignment w:val="auto"/>
        <w:rPr>
          <w:rFonts w:ascii="仿宋_GB2312" w:cs="仿宋_GB2312" w:eastAsia="仿宋_GB2312" w:hAnsi="仿宋_GB2312" w:hint="default"/>
          <w:color w:val="auto"/>
          <w:sz w:val="32"/>
          <w:szCs w:val="32"/>
          <w:lang w:val="en-US" w:eastAsia="zh-CN"/>
        </w:rPr>
      </w:pPr>
      <w:r>
        <w:rPr>
          <w:rFonts w:ascii="仿宋_GB2312" w:cs="仿宋_GB2312" w:eastAsia="仿宋_GB2312" w:hAnsi="仿宋_GB2312" w:hint="eastAsia"/>
          <w:color w:val="auto"/>
          <w:sz w:val="32"/>
          <w:szCs w:val="32"/>
          <w:lang w:val="en-US" w:eastAsia="zh-CN"/>
        </w:rPr>
        <w:t>3.如若错过校园宣讲会，仍可在线投递简历，待工作人员筛选后通知，到各分公司指定地点参加面试或进行线上面试。</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黑体" w:cs="黑体" w:eastAsia="黑体" w:hAnsi="黑体" w:hint="eastAsia"/>
          <w:b w:val="false"/>
          <w:bCs w:val="false"/>
          <w:color w:val="auto"/>
          <w:sz w:val="32"/>
          <w:szCs w:val="32"/>
          <w:lang w:val="en-US" w:eastAsia="zh-CN"/>
        </w:rPr>
      </w:pPr>
      <w:r>
        <w:rPr>
          <w:rFonts w:ascii="黑体" w:cs="黑体" w:eastAsia="黑体" w:hAnsi="黑体" w:hint="eastAsia"/>
          <w:b w:val="false"/>
          <w:bCs w:val="false"/>
          <w:color w:val="auto"/>
          <w:sz w:val="32"/>
          <w:szCs w:val="32"/>
          <w:lang w:val="en-US" w:eastAsia="zh-CN"/>
        </w:rPr>
        <w:t>七、联系方式</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jc w:val="both"/>
        <w:textAlignment w:val="auto"/>
        <w:rPr>
          <w:rFonts w:ascii="仿宋_GB2312" w:cs="仿宋_GB2312" w:eastAsia="仿宋_GB2312" w:hAnsi="仿宋_GB2312" w:hint="eastAsia"/>
          <w:color w:val="auto"/>
          <w:sz w:val="32"/>
          <w:szCs w:val="32"/>
          <w:lang w:val="en-US" w:eastAsia="zh-CN"/>
        </w:rPr>
      </w:pPr>
      <w:r>
        <w:rPr>
          <w:rFonts w:ascii="仿宋_GB2312" w:cs="仿宋_GB2312" w:eastAsia="仿宋_GB2312" w:hAnsi="仿宋_GB2312" w:hint="eastAsia"/>
          <w:color w:val="auto"/>
          <w:sz w:val="32"/>
          <w:szCs w:val="32"/>
          <w:lang w:val="en-US" w:eastAsia="zh-CN"/>
        </w:rPr>
        <w:t>联系人：方先生</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jc w:val="both"/>
        <w:textAlignment w:val="auto"/>
        <w:rPr>
          <w:rFonts w:ascii="仿宋_GB2312" w:cs="仿宋_GB2312" w:eastAsia="仿宋_GB2312" w:hAnsi="仿宋_GB2312" w:hint="eastAsia"/>
          <w:color w:val="auto"/>
          <w:sz w:val="32"/>
          <w:szCs w:val="32"/>
          <w:lang w:val="en-US" w:eastAsia="zh-CN"/>
        </w:rPr>
      </w:pPr>
      <w:r>
        <w:rPr>
          <w:rFonts w:ascii="仿宋_GB2312" w:cs="仿宋_GB2312" w:eastAsia="仿宋_GB2312" w:hAnsi="仿宋_GB2312" w:hint="eastAsia"/>
          <w:color w:val="auto"/>
          <w:sz w:val="32"/>
          <w:szCs w:val="32"/>
          <w:lang w:val="en-US" w:eastAsia="zh-CN"/>
        </w:rPr>
        <w:t>电  话：1</w:t>
      </w:r>
      <w:r>
        <w:rPr>
          <w:rFonts w:ascii="仿宋_GB2312" w:cs="仿宋_GB2312" w:eastAsia="仿宋_GB2312" w:hAnsi="仿宋_GB2312" w:hint="default"/>
          <w:color w:val="auto"/>
          <w:sz w:val="32"/>
          <w:szCs w:val="32"/>
          <w:lang w:val="en-US" w:eastAsia="zh-CN"/>
        </w:rPr>
        <w:t>3933668391</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jc w:val="both"/>
        <w:textAlignment w:val="auto"/>
        <w:rPr>
          <w:rFonts w:ascii="仿宋_GB2312" w:cs="仿宋_GB2312" w:eastAsia="仿宋_GB2312" w:hAnsi="仿宋_GB2312" w:hint="eastAsia"/>
          <w:color w:val="auto"/>
          <w:sz w:val="32"/>
          <w:szCs w:val="32"/>
          <w:lang w:val="en-US" w:eastAsia="zh-CN"/>
        </w:rPr>
      </w:pPr>
      <w:r>
        <w:rPr>
          <w:rFonts w:ascii="仿宋_GB2312" w:cs="仿宋_GB2312" w:eastAsia="仿宋_GB2312" w:hAnsi="仿宋_GB2312" w:hint="eastAsia"/>
          <w:color w:val="auto"/>
          <w:sz w:val="32"/>
          <w:szCs w:val="32"/>
          <w:lang w:val="en-US" w:eastAsia="zh-CN"/>
        </w:rPr>
        <w:t>邮  箱：</w:t>
      </w:r>
      <w:r>
        <w:rPr>
          <w:rFonts w:ascii="仿宋_GB2312" w:cs="仿宋_GB2312" w:eastAsia="仿宋_GB2312" w:hAnsi="仿宋_GB2312" w:hint="default"/>
          <w:color w:val="auto"/>
          <w:sz w:val="32"/>
          <w:szCs w:val="32"/>
          <w:lang w:val="en-US" w:eastAsia="zh-CN"/>
        </w:rPr>
        <w:t>1051035821@qq.com</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jc w:val="both"/>
        <w:textAlignment w:val="auto"/>
        <w:rPr>
          <w:rFonts w:ascii="仿宋_GB2312" w:cs="仿宋_GB2312" w:eastAsia="仿宋_GB2312" w:hAnsi="仿宋_GB2312" w:hint="default"/>
          <w:color w:val="auto"/>
          <w:sz w:val="32"/>
          <w:szCs w:val="32"/>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jc w:val="both"/>
        <w:textAlignment w:val="auto"/>
        <w:rPr>
          <w:rFonts w:ascii="仿宋_GB2312" w:cs="仿宋_GB2312" w:eastAsia="仿宋_GB2312" w:hAnsi="仿宋_GB2312" w:hint="default"/>
          <w:color w:val="auto"/>
          <w:sz w:val="32"/>
          <w:szCs w:val="32"/>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jc w:val="both"/>
        <w:textAlignment w:val="auto"/>
        <w:rPr>
          <w:rFonts w:ascii="仿宋_GB2312" w:cs="仿宋_GB2312" w:eastAsia="仿宋_GB2312" w:hAnsi="仿宋_GB2312" w:hint="default"/>
          <w:color w:val="auto"/>
          <w:sz w:val="32"/>
          <w:szCs w:val="32"/>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jc w:val="right"/>
        <w:textAlignment w:val="auto"/>
        <w:rPr>
          <w:rFonts w:ascii="仿宋_GB2312" w:cs="仿宋_GB2312" w:eastAsia="仿宋_GB2312" w:hAnsi="仿宋_GB2312" w:hint="eastAsia"/>
          <w:color w:val="auto"/>
          <w:sz w:val="32"/>
          <w:szCs w:val="32"/>
          <w:lang w:val="en-US" w:eastAsia="zh-CN"/>
        </w:rPr>
      </w:pPr>
      <w:r>
        <w:rPr>
          <w:rFonts w:ascii="仿宋_GB2312" w:cs="仿宋_GB2312" w:eastAsia="仿宋_GB2312" w:hAnsi="仿宋_GB2312" w:hint="eastAsia"/>
          <w:color w:val="auto"/>
          <w:sz w:val="32"/>
          <w:szCs w:val="32"/>
          <w:lang w:val="en-US" w:eastAsia="zh-CN"/>
        </w:rPr>
        <w:t>中建四局北京公司人力资源部</w:t>
      </w:r>
    </w:p>
    <w:p>
      <w:pPr>
        <w:pStyle w:val="style0"/>
        <w:keepNext w:val="false"/>
        <w:keepLines w:val="false"/>
        <w:pageBreakBefore w:val="false"/>
        <w:widowControl w:val="false"/>
        <w:kinsoku/>
        <w:wordWrap/>
        <w:overflowPunct/>
        <w:topLinePunct w:val="false"/>
        <w:autoSpaceDE/>
        <w:autoSpaceDN/>
        <w:bidi w:val="false"/>
        <w:adjustRightInd/>
        <w:snapToGrid/>
        <w:ind w:firstLine="6080" w:firstLineChars="1900"/>
        <w:jc w:val="both"/>
        <w:textAlignment w:val="auto"/>
        <w:rPr>
          <w:rFonts w:ascii="仿宋_GB2312" w:cs="仿宋_GB2312" w:eastAsia="仿宋_GB2312" w:hAnsi="仿宋_GB2312" w:hint="default"/>
          <w:color w:val="auto"/>
          <w:sz w:val="32"/>
          <w:szCs w:val="32"/>
          <w:lang w:val="en-US" w:eastAsia="zh-CN"/>
        </w:rPr>
      </w:pPr>
      <w:r>
        <w:rPr>
          <w:rFonts w:ascii="仿宋_GB2312" w:cs="仿宋_GB2312" w:eastAsia="仿宋_GB2312" w:hAnsi="仿宋_GB2312" w:hint="eastAsia"/>
          <w:color w:val="auto"/>
          <w:sz w:val="32"/>
          <w:szCs w:val="32"/>
          <w:lang w:val="en-US" w:eastAsia="zh-CN"/>
        </w:rPr>
        <w:t>2024年8月</w:t>
      </w:r>
    </w:p>
    <w:sectPr>
      <w:headerReference w:type="default" r:id="rId3"/>
      <w:pgSz w:w="11906" w:h="16838" w:orient="portrait"/>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1"/>
    <w:family w:val="modern"/>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方正小标宋简体">
    <w:altName w:val="方正小标宋简体"/>
    <w:panose1 w:val="03000509000000000000"/>
    <w:charset w:val="86"/>
    <w:family w:val="auto"/>
    <w:pitch w:val="default"/>
    <w:sig w:usb0="00000001" w:usb1="080E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 w:name="楷体_GB2312">
    <w:altName w:val="楷体_GB2312"/>
    <w:panose1 w:val="02010609030001010101"/>
    <w:charset w:val="86"/>
    <w:family w:val="auto"/>
    <w:pitch w:val="default"/>
    <w:sig w:usb0="00000001" w:usb1="080E0000" w:usb2="00000000" w:usb3="00000000" w:csb0="00040000"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oNotTrackMoves/>
  <w:defaultTabStop w:val="420"/>
  <w:drawingGridVerticalSpacing w:val="156"/>
  <w:displayHorizontalDrawingGridEvery w:val="1"/>
  <w:displayVerticalDrawingGridEvery w:val="1"/>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099"/>
    <w:qFormat/>
    <w:uiPriority w:val="99"/>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99"/>
    <w:pPr>
      <w:widowControl/>
      <w:jc w:val="left"/>
    </w:pPr>
    <w:rPr>
      <w:rFonts w:ascii="宋体" w:cs="宋体" w:hAnsi="宋体"/>
      <w:kern w:val="0"/>
      <w:sz w:val="24"/>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87">
    <w:name w:val="Strong"/>
    <w:next w:val="style87"/>
    <w:qFormat/>
    <w:uiPriority w:val="22"/>
    <w:rPr>
      <w:b/>
      <w:bCs/>
    </w:rPr>
  </w:style>
  <w:style w:type="character" w:styleId="style86">
    <w:name w:val="FollowedHyperlink"/>
    <w:next w:val="style86"/>
    <w:qFormat/>
    <w:uiPriority w:val="99"/>
    <w:rPr>
      <w:color w:val="800080"/>
      <w:u w:val="single"/>
    </w:rPr>
  </w:style>
  <w:style w:type="character" w:styleId="style85">
    <w:name w:val="Hyperlink"/>
    <w:next w:val="style85"/>
    <w:qFormat/>
    <w:uiPriority w:val="0"/>
    <w:rPr>
      <w:color w:val="0000ff"/>
      <w:u w:val="single"/>
    </w:rPr>
  </w:style>
  <w:style w:type="character" w:customStyle="1" w:styleId="style4097">
    <w:name w:val="页眉 字符"/>
    <w:next w:val="style4097"/>
    <w:link w:val="style31"/>
    <w:qFormat/>
    <w:uiPriority w:val="99"/>
    <w:rPr>
      <w:kern w:val="2"/>
      <w:sz w:val="18"/>
      <w:szCs w:val="18"/>
    </w:rPr>
  </w:style>
  <w:style w:type="character" w:customStyle="1" w:styleId="style4098">
    <w:name w:val="页脚 字符"/>
    <w:next w:val="style4098"/>
    <w:link w:val="style32"/>
    <w:qFormat/>
    <w:uiPriority w:val="99"/>
    <w:rPr>
      <w:kern w:val="2"/>
      <w:sz w:val="18"/>
      <w:szCs w:val="18"/>
    </w:rPr>
  </w:style>
  <w:style w:type="character" w:customStyle="1" w:styleId="style4099">
    <w:name w:val="批注框文本 字符"/>
    <w:next w:val="style4099"/>
    <w:link w:val="style153"/>
    <w:qFormat/>
    <w:uiPriority w:val="99"/>
    <w:rPr>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5C917-AD60-4AC6-8146-424DEDA93B20}">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Words>1554</Words>
  <Pages>4</Pages>
  <Characters>1616</Characters>
  <Application>WPS Office</Application>
  <DocSecurity>0</DocSecurity>
  <Paragraphs>87</Paragraphs>
  <ScaleCrop>false</ScaleCrop>
  <Company>Microsoft</Company>
  <LinksUpToDate>false</LinksUpToDate>
  <CharactersWithSpaces>1620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2019-08-19T02:58:00Z</dcterms:created>
  <dc:creator>黄桢</dc:creator>
  <lastModifiedBy>2201122C</lastModifiedBy>
  <lastPrinted>2018-08-31T06:49:00Z</lastPrinted>
  <dcterms:modified xsi:type="dcterms:W3CDTF">2023-09-12T02:31:42Z</dcterms:modified>
  <revision>37</revision>
  <dc:title>招聘简章</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47A3D8BBE5D84EF3B702E378BC40E36E_13</vt:lpwstr>
  </property>
</Properties>
</file>