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exact"/>
        <w:jc w:val="center"/>
        <w:rPr>
          <w:rFonts w:ascii="仿宋_GB2312" w:eastAsia="仿宋_GB2312"/>
          <w:b/>
          <w:sz w:val="36"/>
          <w:szCs w:val="36"/>
        </w:rPr>
      </w:pPr>
      <w:r>
        <w:rPr>
          <w:rFonts w:hint="eastAsia" w:ascii="仿宋_GB2312" w:eastAsia="仿宋_GB2312"/>
          <w:b/>
          <w:sz w:val="36"/>
          <w:szCs w:val="36"/>
        </w:rPr>
        <w:t>中石化第十建设有限公司代理制招聘简章</w:t>
      </w:r>
    </w:p>
    <w:p>
      <w:pPr>
        <w:spacing w:line="440" w:lineRule="exact"/>
        <w:ind w:firstLine="723" w:firstLineChars="200"/>
        <w:jc w:val="center"/>
        <w:rPr>
          <w:rFonts w:ascii="仿宋_GB2312" w:eastAsia="仿宋_GB2312"/>
          <w:b/>
          <w:sz w:val="36"/>
          <w:szCs w:val="36"/>
        </w:rPr>
      </w:pPr>
    </w:p>
    <w:p>
      <w:pPr>
        <w:spacing w:line="440" w:lineRule="exact"/>
        <w:ind w:firstLine="560" w:firstLineChars="200"/>
        <w:rPr>
          <w:rFonts w:ascii="仿宋_GB2312" w:eastAsia="仿宋_GB2312"/>
          <w:sz w:val="28"/>
          <w:szCs w:val="28"/>
        </w:rPr>
      </w:pPr>
      <w:r>
        <w:rPr>
          <w:rFonts w:hint="eastAsia" w:ascii="仿宋_GB2312" w:eastAsia="仿宋_GB2312"/>
          <w:sz w:val="28"/>
          <w:szCs w:val="28"/>
        </w:rPr>
        <w:t>中石化第十建设有限公司是中石化炼化工程(集团)股份有限公司旗下的全资子公司，公司总部位于山东省青岛市黄岛区，注册资本3.5亿元，资产总额42亿元。</w:t>
      </w:r>
      <w:r>
        <w:rPr>
          <w:rFonts w:ascii="仿宋_GB2312" w:eastAsia="仿宋_GB2312"/>
          <w:sz w:val="28"/>
          <w:szCs w:val="28"/>
        </w:rPr>
        <w:t>公司拥有一支专业齐全、积极进取、技术过硬的高素质队伍</w:t>
      </w:r>
      <w:r>
        <w:rPr>
          <w:rFonts w:hint="eastAsia" w:ascii="仿宋_GB2312" w:eastAsia="仿宋_GB2312"/>
          <w:sz w:val="28"/>
          <w:szCs w:val="28"/>
        </w:rPr>
        <w:t>。</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中石化第十建设有限公司目前同时拥有60余个国内外项目，分布在全国各地及中东、中亚等地区，主要地区如：山东青岛、济南、烟台、潍坊、东营；辽宁大连、抚顺；</w:t>
      </w:r>
      <w:r>
        <w:rPr>
          <w:rFonts w:hint="eastAsia" w:ascii="仿宋_GB2312" w:eastAsia="仿宋_GB2312"/>
          <w:sz w:val="28"/>
          <w:szCs w:val="28"/>
          <w:lang w:val="en-US" w:eastAsia="zh-CN"/>
        </w:rPr>
        <w:t>吉林长春；</w:t>
      </w:r>
      <w:r>
        <w:rPr>
          <w:rFonts w:hint="eastAsia" w:ascii="仿宋_GB2312" w:eastAsia="仿宋_GB2312"/>
          <w:sz w:val="28"/>
          <w:szCs w:val="28"/>
        </w:rPr>
        <w:t>内蒙古包头、赤峰；宁夏银川；陕西榆林；</w:t>
      </w:r>
      <w:r>
        <w:rPr>
          <w:rFonts w:hint="eastAsia" w:ascii="仿宋_GB2312" w:eastAsia="仿宋_GB2312"/>
          <w:sz w:val="28"/>
          <w:szCs w:val="28"/>
          <w:lang w:val="en-US" w:eastAsia="zh-CN"/>
        </w:rPr>
        <w:t>河北石家庄；</w:t>
      </w:r>
      <w:r>
        <w:rPr>
          <w:rFonts w:hint="eastAsia" w:ascii="仿宋_GB2312" w:eastAsia="仿宋_GB2312"/>
          <w:sz w:val="28"/>
          <w:szCs w:val="28"/>
        </w:rPr>
        <w:t>广东茂名、湛江、珠海、东莞；福建漳州、泉州；广西北海；江苏连云港；浙江宁波、舟山、嘉兴；还有武汉、上海等城市和地区。海外项目主要分布于科威特、阿曼、俄罗斯、泰国等中东、中亚、东亚、东南亚地区。</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现将公司专项招聘相关情况介绍如下：</w:t>
      </w:r>
    </w:p>
    <w:p>
      <w:pPr>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根据公司与</w:t>
      </w:r>
      <w:r>
        <w:rPr>
          <w:rFonts w:hint="eastAsia" w:ascii="仿宋_GB2312" w:eastAsia="仿宋_GB2312"/>
          <w:sz w:val="28"/>
          <w:szCs w:val="28"/>
        </w:rPr>
        <w:t>中石化第十建设有限公司</w:t>
      </w:r>
      <w:r>
        <w:rPr>
          <w:rFonts w:hint="eastAsia" w:ascii="仿宋_GB2312" w:eastAsia="仿宋_GB2312"/>
          <w:color w:val="000000"/>
          <w:sz w:val="28"/>
          <w:szCs w:val="28"/>
        </w:rPr>
        <w:t>签订</w:t>
      </w:r>
      <w:r>
        <w:rPr>
          <w:rFonts w:ascii="仿宋_GB2312" w:eastAsia="仿宋_GB2312"/>
          <w:color w:val="000000"/>
          <w:sz w:val="28"/>
          <w:szCs w:val="28"/>
        </w:rPr>
        <w:t>的战略合作协议，</w:t>
      </w:r>
      <w:r>
        <w:rPr>
          <w:rFonts w:hint="eastAsia" w:ascii="仿宋_GB2312" w:eastAsia="仿宋_GB2312"/>
          <w:color w:val="000000"/>
          <w:sz w:val="28"/>
          <w:szCs w:val="28"/>
        </w:rPr>
        <w:t>本次专项招聘的员工与青岛市黄岛区人力资源有限公司签订就业协议及劳动合同后</w:t>
      </w:r>
      <w:r>
        <w:rPr>
          <w:rFonts w:ascii="仿宋_GB2312" w:eastAsia="仿宋_GB2312"/>
          <w:color w:val="000000"/>
          <w:sz w:val="28"/>
          <w:szCs w:val="28"/>
        </w:rPr>
        <w:t>，全部</w:t>
      </w:r>
      <w:r>
        <w:rPr>
          <w:rFonts w:hint="eastAsia" w:ascii="仿宋_GB2312" w:eastAsia="仿宋_GB2312"/>
          <w:color w:val="000000"/>
          <w:sz w:val="28"/>
          <w:szCs w:val="28"/>
        </w:rPr>
        <w:t>安置到</w:t>
      </w:r>
      <w:r>
        <w:rPr>
          <w:rFonts w:hint="eastAsia" w:ascii="仿宋_GB2312" w:eastAsia="仿宋_GB2312"/>
          <w:sz w:val="28"/>
          <w:szCs w:val="28"/>
        </w:rPr>
        <w:t>中石化第十建设有限公司</w:t>
      </w:r>
      <w:r>
        <w:rPr>
          <w:rFonts w:hint="eastAsia" w:ascii="仿宋_GB2312" w:eastAsia="仿宋_GB2312"/>
          <w:color w:val="000000"/>
          <w:sz w:val="28"/>
          <w:szCs w:val="28"/>
        </w:rPr>
        <w:t>的相关项目部工作。</w:t>
      </w:r>
    </w:p>
    <w:p>
      <w:pPr>
        <w:spacing w:line="440" w:lineRule="exact"/>
        <w:ind w:firstLine="560" w:firstLineChars="200"/>
        <w:rPr>
          <w:rFonts w:ascii="仿宋_GB2312" w:eastAsia="仿宋_GB2312"/>
          <w:sz w:val="28"/>
          <w:szCs w:val="28"/>
        </w:rPr>
      </w:pPr>
      <w:r>
        <w:rPr>
          <w:rFonts w:hint="eastAsia" w:ascii="仿宋_GB2312" w:eastAsia="仿宋_GB2312"/>
          <w:color w:val="000000"/>
          <w:sz w:val="28"/>
          <w:szCs w:val="28"/>
        </w:rPr>
        <w:t>青岛市黄岛区人力资源有限公司成立于 2003 年 5 月，是由青岛经济技术开发区人才交流服务中心成立，由黄岛区国资委直属企业青岛海西城市投资有限公司全额投资，</w:t>
      </w:r>
      <w:r>
        <w:rPr>
          <w:rFonts w:hint="eastAsia" w:ascii="仿宋_GB2312" w:eastAsia="仿宋_GB2312"/>
          <w:sz w:val="28"/>
          <w:szCs w:val="28"/>
        </w:rPr>
        <w:t>黄岛区最早专门从事劳务派遣、人力资源开发与管理的国有企业。公司长期与中石化第十建设有限公司、青岛海尔集团、中储发展股份有限公司、中国银行股份有限公司、青岛地税局等大型企、事业单位合作。</w:t>
      </w:r>
    </w:p>
    <w:p>
      <w:pPr>
        <w:spacing w:line="440" w:lineRule="exact"/>
        <w:ind w:firstLine="560" w:firstLineChars="200"/>
        <w:rPr>
          <w:rFonts w:hint="eastAsia" w:ascii="仿宋_GB2312" w:eastAsia="仿宋_GB2312"/>
          <w:sz w:val="28"/>
          <w:szCs w:val="28"/>
        </w:rPr>
      </w:pPr>
    </w:p>
    <w:p>
      <w:pPr>
        <w:spacing w:line="440" w:lineRule="exact"/>
        <w:ind w:firstLine="560" w:firstLineChars="200"/>
        <w:rPr>
          <w:rFonts w:ascii="仿宋_GB2312" w:eastAsia="仿宋_GB2312"/>
          <w:sz w:val="28"/>
          <w:szCs w:val="28"/>
        </w:rPr>
      </w:pPr>
      <w:r>
        <w:rPr>
          <w:rFonts w:hint="eastAsia" w:ascii="仿宋_GB2312" w:eastAsia="仿宋_GB2312"/>
          <w:sz w:val="28"/>
          <w:szCs w:val="28"/>
        </w:rPr>
        <w:t>1、签约程序</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应聘人员需将个人简历、学生成绩单、英语证书扫描件一并投递至招聘邮箱</w:t>
      </w:r>
      <w:r>
        <w:rPr>
          <w:rFonts w:hint="eastAsia" w:ascii="仿宋_GB2312" w:eastAsia="仿宋_GB2312"/>
          <w:b/>
          <w:sz w:val="28"/>
          <w:szCs w:val="28"/>
        </w:rPr>
        <w:t>stcc</w:t>
      </w:r>
      <w:r>
        <w:rPr>
          <w:rFonts w:hint="eastAsia" w:ascii="仿宋_GB2312" w:eastAsia="仿宋_GB2312"/>
          <w:b/>
          <w:sz w:val="28"/>
          <w:szCs w:val="28"/>
          <w:lang w:val="en-US" w:eastAsia="zh-CN"/>
        </w:rPr>
        <w:t>1953</w:t>
      </w:r>
      <w:r>
        <w:rPr>
          <w:rFonts w:hint="eastAsia" w:ascii="仿宋_GB2312" w:eastAsia="仿宋_GB2312"/>
          <w:b/>
          <w:sz w:val="28"/>
          <w:szCs w:val="28"/>
        </w:rPr>
        <w:t>@163.com</w:t>
      </w:r>
      <w:r>
        <w:rPr>
          <w:rFonts w:hint="eastAsia" w:ascii="仿宋_GB2312" w:eastAsia="仿宋_GB2312"/>
          <w:sz w:val="28"/>
          <w:szCs w:val="28"/>
        </w:rPr>
        <w:t>。简历筛选后，公司统一组织面试，面试通过后签订就业协议。</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2、入职程序</w:t>
      </w:r>
    </w:p>
    <w:p>
      <w:pPr>
        <w:spacing w:line="440" w:lineRule="exact"/>
        <w:ind w:firstLine="560" w:firstLineChars="200"/>
        <w:rPr>
          <w:rFonts w:ascii="仿宋_GB2312" w:eastAsia="仿宋_GB2312"/>
          <w:sz w:val="28"/>
          <w:szCs w:val="28"/>
        </w:rPr>
      </w:pPr>
      <w:r>
        <w:rPr>
          <w:rFonts w:ascii="仿宋_GB2312" w:eastAsia="仿宋_GB2312"/>
          <w:sz w:val="28"/>
          <w:szCs w:val="28"/>
        </w:rPr>
        <w:t>202</w:t>
      </w:r>
      <w:r>
        <w:rPr>
          <w:rFonts w:hint="eastAsia" w:ascii="仿宋_GB2312" w:eastAsia="仿宋_GB2312"/>
          <w:sz w:val="28"/>
          <w:szCs w:val="28"/>
          <w:lang w:val="en-US" w:eastAsia="zh-CN"/>
        </w:rPr>
        <w:t>3</w:t>
      </w:r>
      <w:r>
        <w:rPr>
          <w:rFonts w:ascii="仿宋_GB2312" w:eastAsia="仿宋_GB2312"/>
          <w:sz w:val="28"/>
          <w:szCs w:val="28"/>
        </w:rPr>
        <w:t>年</w:t>
      </w:r>
      <w:r>
        <w:rPr>
          <w:rFonts w:hint="eastAsia" w:ascii="仿宋_GB2312" w:eastAsia="仿宋_GB2312"/>
          <w:sz w:val="28"/>
          <w:szCs w:val="28"/>
        </w:rPr>
        <w:t>6月底前公司发布报到须知，入职员工需要按照报到须知的要求持有关证件（毕业证、学位证、英语成绩单等）原件及复印件2份到指定地点报到。报到后公司统一安排到指定医院进行入职前体检，体检合格后，签订劳动合同。首签劳动合同期限一般为五年。</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3、见习期与试用期</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新入职大学本科毕业生见习期一般为一年，硕士研究生见习期六个月；试用期均为三个月。</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4、薪酬待遇及福利</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（1）见习期间,研究生平均月收入</w:t>
      </w:r>
      <w:r>
        <w:rPr>
          <w:rFonts w:ascii="仿宋_GB2312" w:eastAsia="仿宋_GB2312"/>
          <w:sz w:val="28"/>
          <w:szCs w:val="28"/>
        </w:rPr>
        <w:t>8000</w:t>
      </w:r>
      <w:r>
        <w:rPr>
          <w:rFonts w:hint="eastAsia" w:ascii="仿宋_GB2312" w:eastAsia="仿宋_GB2312"/>
          <w:sz w:val="28"/>
          <w:szCs w:val="28"/>
        </w:rPr>
        <w:t>元以上，本科生平均月收入</w:t>
      </w:r>
      <w:r>
        <w:rPr>
          <w:rFonts w:ascii="仿宋_GB2312" w:eastAsia="仿宋_GB2312"/>
          <w:sz w:val="28"/>
          <w:szCs w:val="28"/>
        </w:rPr>
        <w:t>70</w:t>
      </w:r>
      <w:r>
        <w:rPr>
          <w:rFonts w:hint="eastAsia" w:ascii="仿宋_GB2312" w:eastAsia="仿宋_GB2312"/>
          <w:sz w:val="28"/>
          <w:szCs w:val="28"/>
        </w:rPr>
        <w:t>00元以上。</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（2）见习期满，进行转正定级考核，根据考核情况提出岗位和定级建议，由公司主管部门审核确定岗位，确定基本薪酬。工作一年后在项目部平均月收入</w:t>
      </w:r>
      <w:r>
        <w:rPr>
          <w:rFonts w:ascii="仿宋_GB2312" w:eastAsia="仿宋_GB2312"/>
          <w:sz w:val="28"/>
          <w:szCs w:val="28"/>
        </w:rPr>
        <w:t>10</w:t>
      </w:r>
      <w:r>
        <w:rPr>
          <w:rFonts w:hint="eastAsia" w:ascii="仿宋_GB2312" w:eastAsia="仿宋_GB2312"/>
          <w:sz w:val="28"/>
          <w:szCs w:val="28"/>
        </w:rPr>
        <w:t>000元以上，此后根据工作能力和业绩调整基本薪酬。</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（3）享有国家规定的“五险一金”：养老保险、医疗保险、工伤保险、失业保险、生育保险及住房公积金。</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5、毕业生档案的调转</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档案转递单位：青岛市黄岛区（东区）人才交流服务中心</w:t>
      </w:r>
    </w:p>
    <w:p>
      <w:pPr>
        <w:spacing w:line="440" w:lineRule="exact"/>
        <w:ind w:firstLine="560" w:firstLineChars="200"/>
        <w:rPr>
          <w:rFonts w:ascii="仿宋_GB2312" w:eastAsia="仿宋_GB2312"/>
          <w:color w:val="FF0000"/>
          <w:sz w:val="28"/>
          <w:szCs w:val="28"/>
        </w:rPr>
      </w:pPr>
      <w:r>
        <w:rPr>
          <w:rFonts w:hint="eastAsia" w:ascii="仿宋_GB2312" w:eastAsia="仿宋_GB2312"/>
          <w:sz w:val="28"/>
          <w:szCs w:val="28"/>
        </w:rPr>
        <w:t>地址：青岛市黄岛区峨眉山路58号</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6、公司所在地及联系方式</w:t>
      </w:r>
    </w:p>
    <w:p>
      <w:pPr>
        <w:spacing w:line="440" w:lineRule="exact"/>
        <w:ind w:left="1961" w:leftChars="534" w:hanging="840" w:hangingChars="300"/>
        <w:rPr>
          <w:rFonts w:ascii="仿宋_GB2312" w:eastAsia="仿宋_GB2312"/>
          <w:sz w:val="28"/>
          <w:szCs w:val="28"/>
        </w:rPr>
      </w:pPr>
      <w:r>
        <w:rPr>
          <w:rFonts w:hint="eastAsia" w:ascii="仿宋_GB2312" w:eastAsia="仿宋_GB2312"/>
          <w:sz w:val="28"/>
          <w:szCs w:val="28"/>
        </w:rPr>
        <w:t>通讯地址：青岛市黄岛区江山南路666号卓亭广场1号楼</w:t>
      </w:r>
    </w:p>
    <w:p>
      <w:pPr>
        <w:spacing w:line="440" w:lineRule="exact"/>
        <w:ind w:firstLine="1120" w:firstLineChars="400"/>
        <w:rPr>
          <w:rFonts w:ascii="仿宋_GB2312" w:eastAsia="仿宋_GB2312"/>
          <w:sz w:val="28"/>
          <w:szCs w:val="28"/>
        </w:rPr>
      </w:pPr>
      <w:r>
        <w:rPr>
          <w:rFonts w:hint="eastAsia" w:ascii="仿宋_GB2312" w:eastAsia="仿宋_GB2312"/>
          <w:sz w:val="28"/>
          <w:szCs w:val="28"/>
        </w:rPr>
        <w:t>邮政编码：266555</w:t>
      </w:r>
    </w:p>
    <w:p>
      <w:pPr>
        <w:spacing w:line="440" w:lineRule="exact"/>
        <w:ind w:firstLine="1120" w:firstLineChars="400"/>
        <w:rPr>
          <w:rFonts w:ascii="仿宋_GB2312" w:eastAsia="仿宋_GB2312"/>
          <w:sz w:val="28"/>
          <w:szCs w:val="28"/>
        </w:rPr>
      </w:pPr>
      <w:r>
        <w:rPr>
          <w:rFonts w:hint="eastAsia" w:ascii="仿宋_GB2312" w:eastAsia="仿宋_GB2312"/>
          <w:sz w:val="28"/>
          <w:szCs w:val="28"/>
        </w:rPr>
        <w:t>招聘邮箱：stcc</w:t>
      </w:r>
      <w:r>
        <w:rPr>
          <w:rFonts w:hint="eastAsia" w:ascii="仿宋_GB2312" w:eastAsia="仿宋_GB2312"/>
          <w:sz w:val="28"/>
          <w:szCs w:val="28"/>
          <w:lang w:val="en-US" w:eastAsia="zh-CN"/>
        </w:rPr>
        <w:t>1953</w:t>
      </w:r>
      <w:r>
        <w:rPr>
          <w:rFonts w:hint="eastAsia" w:ascii="仿宋_GB2312" w:eastAsia="仿宋_GB2312"/>
          <w:sz w:val="28"/>
          <w:szCs w:val="28"/>
        </w:rPr>
        <w:t>@163.com</w:t>
      </w:r>
    </w:p>
    <w:p>
      <w:pPr>
        <w:spacing w:line="440" w:lineRule="exact"/>
        <w:ind w:firstLine="1120" w:firstLineChars="400"/>
        <w:rPr>
          <w:rFonts w:ascii="仿宋_GB2312" w:eastAsia="仿宋_GB2312"/>
          <w:sz w:val="28"/>
          <w:szCs w:val="28"/>
        </w:rPr>
      </w:pPr>
      <w:r>
        <w:rPr>
          <w:rFonts w:hint="eastAsia" w:ascii="仿宋_GB2312" w:eastAsia="仿宋_GB2312"/>
          <w:sz w:val="28"/>
          <w:szCs w:val="28"/>
        </w:rPr>
        <w:t>联系电话：0532-5568192</w:t>
      </w:r>
      <w:r>
        <w:rPr>
          <w:rFonts w:ascii="仿宋_GB2312" w:eastAsia="仿宋_GB2312"/>
          <w:sz w:val="28"/>
          <w:szCs w:val="28"/>
        </w:rPr>
        <w:t>6</w:t>
      </w:r>
    </w:p>
    <w:p>
      <w:pPr>
        <w:spacing w:line="440" w:lineRule="exact"/>
        <w:ind w:firstLine="1120" w:firstLineChars="400"/>
        <w:rPr>
          <w:rFonts w:ascii="仿宋_GB2312" w:eastAsia="仿宋_GB2312"/>
          <w:sz w:val="28"/>
          <w:szCs w:val="28"/>
        </w:rPr>
      </w:pPr>
    </w:p>
    <w:p>
      <w:pPr>
        <w:spacing w:line="440" w:lineRule="exact"/>
        <w:ind w:firstLine="1120" w:firstLineChars="400"/>
        <w:rPr>
          <w:rFonts w:ascii="仿宋_GB2312" w:eastAsia="仿宋_GB2312"/>
          <w:sz w:val="28"/>
          <w:szCs w:val="28"/>
        </w:rPr>
      </w:pPr>
    </w:p>
    <w:p>
      <w:pPr>
        <w:spacing w:line="440" w:lineRule="exact"/>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p>
    <w:p>
      <w:pPr>
        <w:spacing w:line="440" w:lineRule="exact"/>
        <w:ind w:firstLine="560" w:firstLineChars="200"/>
        <w:rPr>
          <w:rFonts w:ascii="仿宋_GB2312" w:eastAsia="仿宋_GB2312"/>
          <w:sz w:val="28"/>
          <w:szCs w:val="28"/>
          <w:highlight w:val="yellow"/>
        </w:rPr>
      </w:pPr>
    </w:p>
    <w:p>
      <w:pPr>
        <w:spacing w:line="440" w:lineRule="exact"/>
        <w:ind w:firstLine="560" w:firstLineChars="200"/>
        <w:rPr>
          <w:rFonts w:ascii="仿宋_GB2312" w:eastAsia="仿宋_GB2312"/>
          <w:sz w:val="28"/>
          <w:szCs w:val="28"/>
          <w:highlight w:val="yellow"/>
        </w:rPr>
      </w:pPr>
    </w:p>
    <w:p>
      <w:pPr>
        <w:spacing w:line="440" w:lineRule="exact"/>
        <w:ind w:firstLine="560" w:firstLineChars="200"/>
        <w:rPr>
          <w:rFonts w:ascii="仿宋_GB2312" w:eastAsia="仿宋_GB2312"/>
          <w:sz w:val="28"/>
          <w:szCs w:val="28"/>
          <w:highlight w:val="yellow"/>
        </w:rPr>
      </w:pPr>
    </w:p>
    <w:p>
      <w:pPr>
        <w:spacing w:line="440" w:lineRule="exact"/>
        <w:ind w:firstLine="560" w:firstLineChars="200"/>
        <w:rPr>
          <w:rFonts w:ascii="仿宋_GB2312" w:eastAsia="仿宋_GB2312"/>
          <w:sz w:val="28"/>
          <w:szCs w:val="28"/>
          <w:highlight w:val="yellow"/>
        </w:rPr>
      </w:pPr>
    </w:p>
    <w:p>
      <w:pPr>
        <w:spacing w:line="440" w:lineRule="exact"/>
        <w:ind w:firstLine="560" w:firstLineChars="200"/>
        <w:rPr>
          <w:rFonts w:ascii="仿宋_GB2312" w:eastAsia="仿宋_GB2312"/>
          <w:sz w:val="28"/>
          <w:szCs w:val="28"/>
          <w:highlight w:val="yellow"/>
        </w:rPr>
      </w:pPr>
    </w:p>
    <w:p>
      <w:pPr>
        <w:spacing w:line="440" w:lineRule="exact"/>
        <w:ind w:firstLine="560" w:firstLineChars="200"/>
        <w:rPr>
          <w:rFonts w:ascii="仿宋_GB2312" w:eastAsia="仿宋_GB2312"/>
          <w:sz w:val="28"/>
          <w:szCs w:val="28"/>
          <w:highlight w:val="yellow"/>
        </w:rPr>
      </w:pPr>
    </w:p>
    <w:p>
      <w:pPr>
        <w:spacing w:line="440" w:lineRule="exact"/>
        <w:ind w:firstLine="560" w:firstLineChars="200"/>
        <w:rPr>
          <w:rFonts w:ascii="仿宋_GB2312" w:eastAsia="仿宋_GB2312"/>
          <w:sz w:val="28"/>
          <w:szCs w:val="28"/>
        </w:rPr>
      </w:pPr>
      <w:r>
        <w:rPr>
          <w:rFonts w:hint="eastAsia" w:ascii="仿宋_GB2312" w:eastAsia="仿宋_GB2312"/>
          <w:sz w:val="28"/>
          <w:szCs w:val="28"/>
        </w:rPr>
        <w:t>7、工作岗位及招聘要求</w:t>
      </w:r>
    </w:p>
    <w:p>
      <w:pPr>
        <w:spacing w:line="440" w:lineRule="exact"/>
        <w:ind w:firstLine="560" w:firstLineChars="200"/>
        <w:rPr>
          <w:rFonts w:ascii="仿宋_GB2312" w:eastAsia="仿宋_GB2312"/>
          <w:sz w:val="28"/>
          <w:szCs w:val="28"/>
          <w:highlight w:val="yellow"/>
        </w:rPr>
      </w:pPr>
    </w:p>
    <w:tbl>
      <w:tblPr>
        <w:tblStyle w:val="7"/>
        <w:tblW w:w="9084" w:type="dxa"/>
        <w:tblInd w:w="96" w:type="dxa"/>
        <w:tblLayout w:type="autofit"/>
        <w:tblCellMar>
          <w:top w:w="0" w:type="dxa"/>
          <w:left w:w="108" w:type="dxa"/>
          <w:bottom w:w="0" w:type="dxa"/>
          <w:right w:w="108" w:type="dxa"/>
        </w:tblCellMar>
      </w:tblPr>
      <w:tblGrid>
        <w:gridCol w:w="450"/>
        <w:gridCol w:w="1122"/>
        <w:gridCol w:w="567"/>
        <w:gridCol w:w="850"/>
        <w:gridCol w:w="2693"/>
        <w:gridCol w:w="2125"/>
        <w:gridCol w:w="1277"/>
      </w:tblGrid>
      <w:tr>
        <w:tblPrEx>
          <w:tblCellMar>
            <w:top w:w="0" w:type="dxa"/>
            <w:left w:w="108" w:type="dxa"/>
            <w:bottom w:w="0" w:type="dxa"/>
            <w:right w:w="108" w:type="dxa"/>
          </w:tblCellMar>
        </w:tblPrEx>
        <w:trPr>
          <w:trHeight w:val="567" w:hRule="atLeast"/>
        </w:trPr>
        <w:tc>
          <w:tcPr>
            <w:tcW w:w="45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12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岗位名称</w:t>
            </w:r>
          </w:p>
        </w:tc>
        <w:tc>
          <w:tcPr>
            <w:tcW w:w="56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招聘人数</w:t>
            </w:r>
          </w:p>
        </w:tc>
        <w:tc>
          <w:tcPr>
            <w:tcW w:w="85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学历要求</w:t>
            </w:r>
          </w:p>
        </w:tc>
        <w:tc>
          <w:tcPr>
            <w:tcW w:w="2693"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专业要求</w:t>
            </w:r>
          </w:p>
        </w:tc>
        <w:tc>
          <w:tcPr>
            <w:tcW w:w="2125"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外语水平</w:t>
            </w:r>
          </w:p>
        </w:tc>
        <w:tc>
          <w:tcPr>
            <w:tcW w:w="1277"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工作地点</w:t>
            </w:r>
          </w:p>
        </w:tc>
      </w:tr>
      <w:tr>
        <w:tblPrEx>
          <w:tblCellMar>
            <w:top w:w="0" w:type="dxa"/>
            <w:left w:w="108" w:type="dxa"/>
            <w:bottom w:w="0" w:type="dxa"/>
            <w:right w:w="108" w:type="dxa"/>
          </w:tblCellMar>
        </w:tblPrEx>
        <w:trPr>
          <w:trHeight w:val="1128" w:hRule="atLeast"/>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112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设备安装技术岗</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60</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本科、硕研</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工程力学、机械工程、机械设计制造及其自动化、机械工艺设计、机械电子工程、给水排水工程、过程装备与控制工程、高分子材料与工程、能源与动力工程、化学工程与工艺、油气加工与储运工程、能源化学工程、交通工程、车辆工程、交通设备与控制工程</w:t>
            </w:r>
          </w:p>
        </w:tc>
        <w:tc>
          <w:tcPr>
            <w:tcW w:w="21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英语四、六级成绩合格者优先录取；</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工程项目所在地</w:t>
            </w:r>
          </w:p>
        </w:tc>
      </w:tr>
      <w:tr>
        <w:tblPrEx>
          <w:tblCellMar>
            <w:top w:w="0" w:type="dxa"/>
            <w:left w:w="108" w:type="dxa"/>
            <w:bottom w:w="0" w:type="dxa"/>
            <w:right w:w="108" w:type="dxa"/>
          </w:tblCellMar>
        </w:tblPrEx>
        <w:trPr>
          <w:trHeight w:val="672" w:hRule="atLeast"/>
        </w:trPr>
        <w:tc>
          <w:tcPr>
            <w:tcW w:w="4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112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焊接技术岗</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本科、硕研</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材料成型及控制工程；材料科学与工程</w:t>
            </w:r>
            <w:bookmarkStart w:id="0" w:name="_GoBack"/>
            <w:bookmarkEnd w:id="0"/>
            <w:r>
              <w:rPr>
                <w:rFonts w:hint="eastAsia" w:ascii="宋体" w:hAnsi="宋体" w:cs="宋体"/>
                <w:color w:val="000000"/>
                <w:kern w:val="0"/>
                <w:sz w:val="20"/>
                <w:szCs w:val="20"/>
              </w:rPr>
              <w:t>、金属材料工程</w:t>
            </w:r>
            <w:r>
              <w:rPr>
                <w:rFonts w:hint="eastAsia" w:ascii="宋体" w:hAnsi="宋体" w:cs="宋体"/>
                <w:color w:val="000000"/>
                <w:kern w:val="0"/>
                <w:sz w:val="20"/>
                <w:szCs w:val="20"/>
                <w:lang w:eastAsia="zh-CN"/>
              </w:rPr>
              <w:t>、</w:t>
            </w:r>
            <w:r>
              <w:rPr>
                <w:rFonts w:hint="eastAsia" w:ascii="宋体" w:hAnsi="宋体" w:cs="宋体"/>
                <w:kern w:val="0"/>
                <w:sz w:val="20"/>
                <w:szCs w:val="20"/>
              </w:rPr>
              <w:t>焊接技术与工程</w:t>
            </w:r>
          </w:p>
        </w:tc>
        <w:tc>
          <w:tcPr>
            <w:tcW w:w="21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英语四、六级成绩合格者优先录取；</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工程项目所在地</w:t>
            </w:r>
          </w:p>
        </w:tc>
      </w:tr>
      <w:tr>
        <w:tblPrEx>
          <w:tblCellMar>
            <w:top w:w="0" w:type="dxa"/>
            <w:left w:w="108" w:type="dxa"/>
            <w:bottom w:w="0" w:type="dxa"/>
            <w:right w:w="108" w:type="dxa"/>
          </w:tblCellMar>
        </w:tblPrEx>
        <w:trPr>
          <w:trHeight w:val="1431" w:hRule="atLeast"/>
        </w:trPr>
        <w:tc>
          <w:tcPr>
            <w:tcW w:w="4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w:t>
            </w:r>
          </w:p>
        </w:tc>
        <w:tc>
          <w:tcPr>
            <w:tcW w:w="1122"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土木工程岗</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0"/>
                <w:szCs w:val="20"/>
              </w:rPr>
            </w:pPr>
            <w:r>
              <w:rPr>
                <w:rFonts w:hint="eastAsia" w:ascii="宋体" w:hAnsi="宋体" w:cs="宋体"/>
                <w:kern w:val="0"/>
                <w:sz w:val="20"/>
                <w:szCs w:val="20"/>
              </w:rPr>
              <w:t>本科、硕研</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土木工程、测绘工程、建筑学、建筑节能技术与工程、无机非金属材料工程</w:t>
            </w:r>
          </w:p>
        </w:tc>
        <w:tc>
          <w:tcPr>
            <w:tcW w:w="212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rPr>
              <w:t>英语四、六级成绩合格者优先录取；</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rPr>
              <w:t>工程项目所在地</w:t>
            </w:r>
          </w:p>
        </w:tc>
      </w:tr>
      <w:tr>
        <w:tblPrEx>
          <w:tblCellMar>
            <w:top w:w="0" w:type="dxa"/>
            <w:left w:w="108" w:type="dxa"/>
            <w:bottom w:w="0" w:type="dxa"/>
            <w:right w:w="108" w:type="dxa"/>
          </w:tblCellMar>
        </w:tblPrEx>
        <w:trPr>
          <w:trHeight w:val="1431" w:hRule="atLeast"/>
        </w:trPr>
        <w:tc>
          <w:tcPr>
            <w:tcW w:w="4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112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电气、仪表技术岗</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20</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本科、硕研</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电气工程及其自动化、电子信息工程、电子科学与技术、通信工程、信息工程、自动化、测控技术与仪器                                          </w:t>
            </w:r>
          </w:p>
        </w:tc>
        <w:tc>
          <w:tcPr>
            <w:tcW w:w="21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英语四、六级成绩合格者优先录取；</w:t>
            </w:r>
            <w:r>
              <w:rPr>
                <w:rFonts w:ascii="宋体" w:hAnsi="宋体" w:cs="宋体"/>
                <w:kern w:val="0"/>
                <w:sz w:val="20"/>
                <w:szCs w:val="20"/>
              </w:rPr>
              <w:t xml:space="preserve"> </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工程项目所在地</w:t>
            </w:r>
          </w:p>
        </w:tc>
      </w:tr>
      <w:tr>
        <w:tblPrEx>
          <w:tblCellMar>
            <w:top w:w="0" w:type="dxa"/>
            <w:left w:w="108" w:type="dxa"/>
            <w:bottom w:w="0" w:type="dxa"/>
            <w:right w:w="108" w:type="dxa"/>
          </w:tblCellMar>
        </w:tblPrEx>
        <w:trPr>
          <w:trHeight w:val="672" w:hRule="atLeast"/>
        </w:trPr>
        <w:tc>
          <w:tcPr>
            <w:tcW w:w="4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p>
        </w:tc>
        <w:tc>
          <w:tcPr>
            <w:tcW w:w="112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工程造价和技术经济岗</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本科、硕研</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工程造价；工程管理；国际工程项目管理；技术经济及管理                                 </w:t>
            </w:r>
          </w:p>
        </w:tc>
        <w:tc>
          <w:tcPr>
            <w:tcW w:w="21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英语四、六级成绩合格者优先录取；</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工程项目所在地</w:t>
            </w:r>
          </w:p>
        </w:tc>
      </w:tr>
      <w:tr>
        <w:tblPrEx>
          <w:tblCellMar>
            <w:top w:w="0" w:type="dxa"/>
            <w:left w:w="108" w:type="dxa"/>
            <w:bottom w:w="0" w:type="dxa"/>
            <w:right w:w="108" w:type="dxa"/>
          </w:tblCellMar>
        </w:tblPrEx>
        <w:trPr>
          <w:trHeight w:val="672" w:hRule="atLeast"/>
        </w:trPr>
        <w:tc>
          <w:tcPr>
            <w:tcW w:w="4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112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安全工程岗</w:t>
            </w:r>
          </w:p>
        </w:tc>
        <w:tc>
          <w:tcPr>
            <w:tcW w:w="56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本科、硕研</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安全工程、环境科学与工程、环境工程、环境科学、环境生态工程</w:t>
            </w:r>
          </w:p>
        </w:tc>
        <w:tc>
          <w:tcPr>
            <w:tcW w:w="21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英语四、六级成绩合格者优先录取；</w:t>
            </w:r>
          </w:p>
        </w:tc>
        <w:tc>
          <w:tcPr>
            <w:tcW w:w="12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工程项目所在地</w:t>
            </w:r>
          </w:p>
        </w:tc>
      </w:tr>
      <w:tr>
        <w:tblPrEx>
          <w:tblCellMar>
            <w:top w:w="0" w:type="dxa"/>
            <w:left w:w="108" w:type="dxa"/>
            <w:bottom w:w="0" w:type="dxa"/>
            <w:right w:w="108" w:type="dxa"/>
          </w:tblCellMar>
        </w:tblPrEx>
        <w:trPr>
          <w:trHeight w:val="672" w:hRule="atLeast"/>
        </w:trPr>
        <w:tc>
          <w:tcPr>
            <w:tcW w:w="4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7</w:t>
            </w:r>
          </w:p>
        </w:tc>
        <w:tc>
          <w:tcPr>
            <w:tcW w:w="8634" w:type="dxa"/>
            <w:gridSpan w:val="6"/>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8"/>
                <w:szCs w:val="28"/>
              </w:rPr>
            </w:pPr>
            <w:r>
              <w:rPr>
                <w:rFonts w:ascii="宋体" w:hAnsi="宋体" w:cs="宋体"/>
                <w:kern w:val="0"/>
                <w:sz w:val="20"/>
                <w:szCs w:val="20"/>
              </w:rPr>
              <w:t>另招聘俄罗斯留学生及俄罗斯留学归国人员，需精通俄语，本科及以上学历，人数及专业不限。</w:t>
            </w:r>
          </w:p>
        </w:tc>
      </w:tr>
    </w:tbl>
    <w:p>
      <w:pPr>
        <w:spacing w:line="440" w:lineRule="exact"/>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MTgxYzcxMjkyNDMwZmE3ZGIxNGY1MmUxMDg5N2YifQ=="/>
  </w:docVars>
  <w:rsids>
    <w:rsidRoot w:val="00172A27"/>
    <w:rsid w:val="0000512B"/>
    <w:rsid w:val="000114A0"/>
    <w:rsid w:val="0001294A"/>
    <w:rsid w:val="000141FE"/>
    <w:rsid w:val="00015208"/>
    <w:rsid w:val="00034FBE"/>
    <w:rsid w:val="000460C4"/>
    <w:rsid w:val="0005691F"/>
    <w:rsid w:val="00065F50"/>
    <w:rsid w:val="0006728C"/>
    <w:rsid w:val="00077916"/>
    <w:rsid w:val="00077E5F"/>
    <w:rsid w:val="00080B89"/>
    <w:rsid w:val="00091393"/>
    <w:rsid w:val="000A5508"/>
    <w:rsid w:val="000B1FD8"/>
    <w:rsid w:val="000B2595"/>
    <w:rsid w:val="000B2AD8"/>
    <w:rsid w:val="000C2270"/>
    <w:rsid w:val="000C582B"/>
    <w:rsid w:val="000E05C1"/>
    <w:rsid w:val="000E07E7"/>
    <w:rsid w:val="000E4537"/>
    <w:rsid w:val="000F4488"/>
    <w:rsid w:val="0012045F"/>
    <w:rsid w:val="00121FD5"/>
    <w:rsid w:val="001478E0"/>
    <w:rsid w:val="00154E16"/>
    <w:rsid w:val="0016398A"/>
    <w:rsid w:val="00166931"/>
    <w:rsid w:val="0017137D"/>
    <w:rsid w:val="00172A27"/>
    <w:rsid w:val="0018002E"/>
    <w:rsid w:val="00190CFE"/>
    <w:rsid w:val="00195A5B"/>
    <w:rsid w:val="001A73EC"/>
    <w:rsid w:val="001C1EE6"/>
    <w:rsid w:val="001D1AE1"/>
    <w:rsid w:val="001D70A2"/>
    <w:rsid w:val="00207219"/>
    <w:rsid w:val="00207290"/>
    <w:rsid w:val="00212915"/>
    <w:rsid w:val="002332C8"/>
    <w:rsid w:val="002673AE"/>
    <w:rsid w:val="00282C04"/>
    <w:rsid w:val="00296DDD"/>
    <w:rsid w:val="002A481D"/>
    <w:rsid w:val="002C1097"/>
    <w:rsid w:val="002C4CB0"/>
    <w:rsid w:val="003038C4"/>
    <w:rsid w:val="00304BCC"/>
    <w:rsid w:val="00304EBA"/>
    <w:rsid w:val="003215AC"/>
    <w:rsid w:val="00333A71"/>
    <w:rsid w:val="00343C2C"/>
    <w:rsid w:val="00360DA8"/>
    <w:rsid w:val="00367872"/>
    <w:rsid w:val="00370D51"/>
    <w:rsid w:val="00385F52"/>
    <w:rsid w:val="003A51EC"/>
    <w:rsid w:val="003B29E0"/>
    <w:rsid w:val="003B519E"/>
    <w:rsid w:val="003D3F30"/>
    <w:rsid w:val="003E1A8F"/>
    <w:rsid w:val="003E4375"/>
    <w:rsid w:val="003E6312"/>
    <w:rsid w:val="00404DE1"/>
    <w:rsid w:val="00414120"/>
    <w:rsid w:val="00427470"/>
    <w:rsid w:val="004360C3"/>
    <w:rsid w:val="00443D92"/>
    <w:rsid w:val="00456ECD"/>
    <w:rsid w:val="00476D9E"/>
    <w:rsid w:val="00482E14"/>
    <w:rsid w:val="00484311"/>
    <w:rsid w:val="004952FE"/>
    <w:rsid w:val="004A1CD8"/>
    <w:rsid w:val="004A1F9E"/>
    <w:rsid w:val="004A3CF1"/>
    <w:rsid w:val="004A77B6"/>
    <w:rsid w:val="004C10DF"/>
    <w:rsid w:val="004C3214"/>
    <w:rsid w:val="004D0F82"/>
    <w:rsid w:val="004D2B27"/>
    <w:rsid w:val="004E382E"/>
    <w:rsid w:val="004E63DC"/>
    <w:rsid w:val="004F32E8"/>
    <w:rsid w:val="004F5B2F"/>
    <w:rsid w:val="00500A65"/>
    <w:rsid w:val="0050253D"/>
    <w:rsid w:val="00503D9E"/>
    <w:rsid w:val="00507A8F"/>
    <w:rsid w:val="00527A9F"/>
    <w:rsid w:val="0053129F"/>
    <w:rsid w:val="005814D9"/>
    <w:rsid w:val="005825D9"/>
    <w:rsid w:val="005864B1"/>
    <w:rsid w:val="00593330"/>
    <w:rsid w:val="00593F9B"/>
    <w:rsid w:val="005963D4"/>
    <w:rsid w:val="005A1571"/>
    <w:rsid w:val="005A35AA"/>
    <w:rsid w:val="005A64CD"/>
    <w:rsid w:val="005A7935"/>
    <w:rsid w:val="005B157B"/>
    <w:rsid w:val="005C5545"/>
    <w:rsid w:val="005C7381"/>
    <w:rsid w:val="005D4B03"/>
    <w:rsid w:val="005D6633"/>
    <w:rsid w:val="005E1EE6"/>
    <w:rsid w:val="005E78BC"/>
    <w:rsid w:val="005F2A24"/>
    <w:rsid w:val="005F4D72"/>
    <w:rsid w:val="006120DA"/>
    <w:rsid w:val="00637204"/>
    <w:rsid w:val="00637FDE"/>
    <w:rsid w:val="00645F89"/>
    <w:rsid w:val="00663900"/>
    <w:rsid w:val="00665465"/>
    <w:rsid w:val="0066717E"/>
    <w:rsid w:val="00671978"/>
    <w:rsid w:val="00672321"/>
    <w:rsid w:val="00686331"/>
    <w:rsid w:val="00690FC6"/>
    <w:rsid w:val="006A1143"/>
    <w:rsid w:val="006A2782"/>
    <w:rsid w:val="006A40E3"/>
    <w:rsid w:val="006A7716"/>
    <w:rsid w:val="006B3BF7"/>
    <w:rsid w:val="006D19CE"/>
    <w:rsid w:val="006D5BE8"/>
    <w:rsid w:val="006F0CE7"/>
    <w:rsid w:val="006F5A98"/>
    <w:rsid w:val="006F6792"/>
    <w:rsid w:val="00736E99"/>
    <w:rsid w:val="00737854"/>
    <w:rsid w:val="00743F6C"/>
    <w:rsid w:val="007502EA"/>
    <w:rsid w:val="00750A80"/>
    <w:rsid w:val="00753FCF"/>
    <w:rsid w:val="00754312"/>
    <w:rsid w:val="00755187"/>
    <w:rsid w:val="00757482"/>
    <w:rsid w:val="00760E9C"/>
    <w:rsid w:val="00770085"/>
    <w:rsid w:val="00776B83"/>
    <w:rsid w:val="0077715C"/>
    <w:rsid w:val="0079115E"/>
    <w:rsid w:val="007A48E0"/>
    <w:rsid w:val="007D7469"/>
    <w:rsid w:val="007E11DB"/>
    <w:rsid w:val="007E21E4"/>
    <w:rsid w:val="007E55CD"/>
    <w:rsid w:val="007F294E"/>
    <w:rsid w:val="00825378"/>
    <w:rsid w:val="00826E5A"/>
    <w:rsid w:val="00827502"/>
    <w:rsid w:val="008429AB"/>
    <w:rsid w:val="00850312"/>
    <w:rsid w:val="008533EB"/>
    <w:rsid w:val="00861804"/>
    <w:rsid w:val="00866230"/>
    <w:rsid w:val="008C02F3"/>
    <w:rsid w:val="008C4372"/>
    <w:rsid w:val="008C582B"/>
    <w:rsid w:val="008E32E9"/>
    <w:rsid w:val="008F2B0D"/>
    <w:rsid w:val="008F6421"/>
    <w:rsid w:val="009111A0"/>
    <w:rsid w:val="00914BAA"/>
    <w:rsid w:val="0092076A"/>
    <w:rsid w:val="00925AE8"/>
    <w:rsid w:val="009439B8"/>
    <w:rsid w:val="00952B71"/>
    <w:rsid w:val="0095544A"/>
    <w:rsid w:val="00955A8F"/>
    <w:rsid w:val="009615B3"/>
    <w:rsid w:val="00965232"/>
    <w:rsid w:val="00992FF6"/>
    <w:rsid w:val="0099736D"/>
    <w:rsid w:val="009A6DA1"/>
    <w:rsid w:val="009B095F"/>
    <w:rsid w:val="009B0EDF"/>
    <w:rsid w:val="009B6A0E"/>
    <w:rsid w:val="009C26A7"/>
    <w:rsid w:val="009C5609"/>
    <w:rsid w:val="009D676E"/>
    <w:rsid w:val="009E0F7E"/>
    <w:rsid w:val="009E349A"/>
    <w:rsid w:val="009F0EC4"/>
    <w:rsid w:val="009F1F58"/>
    <w:rsid w:val="009F509D"/>
    <w:rsid w:val="00A032DC"/>
    <w:rsid w:val="00A049E6"/>
    <w:rsid w:val="00A07932"/>
    <w:rsid w:val="00A10DA8"/>
    <w:rsid w:val="00A227EB"/>
    <w:rsid w:val="00A2330A"/>
    <w:rsid w:val="00A24576"/>
    <w:rsid w:val="00A248D8"/>
    <w:rsid w:val="00A258AE"/>
    <w:rsid w:val="00A30CDF"/>
    <w:rsid w:val="00A34FEC"/>
    <w:rsid w:val="00A350A9"/>
    <w:rsid w:val="00A351EE"/>
    <w:rsid w:val="00A45394"/>
    <w:rsid w:val="00A53486"/>
    <w:rsid w:val="00A53E66"/>
    <w:rsid w:val="00A71E66"/>
    <w:rsid w:val="00A87A93"/>
    <w:rsid w:val="00AA0A0C"/>
    <w:rsid w:val="00AA3845"/>
    <w:rsid w:val="00AA673E"/>
    <w:rsid w:val="00AA74C6"/>
    <w:rsid w:val="00AC6562"/>
    <w:rsid w:val="00AF05B2"/>
    <w:rsid w:val="00B125E4"/>
    <w:rsid w:val="00B16CEC"/>
    <w:rsid w:val="00B23FCA"/>
    <w:rsid w:val="00B2734F"/>
    <w:rsid w:val="00B319E3"/>
    <w:rsid w:val="00B46051"/>
    <w:rsid w:val="00B7792F"/>
    <w:rsid w:val="00B962DE"/>
    <w:rsid w:val="00BA2947"/>
    <w:rsid w:val="00BB0618"/>
    <w:rsid w:val="00BC3866"/>
    <w:rsid w:val="00BD1FB3"/>
    <w:rsid w:val="00BD3FCE"/>
    <w:rsid w:val="00BD4670"/>
    <w:rsid w:val="00BD6F94"/>
    <w:rsid w:val="00BF153F"/>
    <w:rsid w:val="00BF72E3"/>
    <w:rsid w:val="00C1443D"/>
    <w:rsid w:val="00C21D8C"/>
    <w:rsid w:val="00C261B7"/>
    <w:rsid w:val="00C52A1A"/>
    <w:rsid w:val="00C62E6B"/>
    <w:rsid w:val="00C665F1"/>
    <w:rsid w:val="00C66F8D"/>
    <w:rsid w:val="00C85BA2"/>
    <w:rsid w:val="00CA02FD"/>
    <w:rsid w:val="00CA2E32"/>
    <w:rsid w:val="00CB5545"/>
    <w:rsid w:val="00CC3565"/>
    <w:rsid w:val="00CC67B0"/>
    <w:rsid w:val="00CD17CD"/>
    <w:rsid w:val="00CD720B"/>
    <w:rsid w:val="00CF53CA"/>
    <w:rsid w:val="00D068FC"/>
    <w:rsid w:val="00D153A5"/>
    <w:rsid w:val="00D1655C"/>
    <w:rsid w:val="00D17E6D"/>
    <w:rsid w:val="00D2009A"/>
    <w:rsid w:val="00D23ADD"/>
    <w:rsid w:val="00D25335"/>
    <w:rsid w:val="00D30975"/>
    <w:rsid w:val="00D36136"/>
    <w:rsid w:val="00D45216"/>
    <w:rsid w:val="00D74824"/>
    <w:rsid w:val="00D81212"/>
    <w:rsid w:val="00D91362"/>
    <w:rsid w:val="00DA3FEC"/>
    <w:rsid w:val="00DB0252"/>
    <w:rsid w:val="00DB638C"/>
    <w:rsid w:val="00DC3C48"/>
    <w:rsid w:val="00DC7E28"/>
    <w:rsid w:val="00DE1F4F"/>
    <w:rsid w:val="00DF161A"/>
    <w:rsid w:val="00DF1E6C"/>
    <w:rsid w:val="00E0191D"/>
    <w:rsid w:val="00E04803"/>
    <w:rsid w:val="00E150CC"/>
    <w:rsid w:val="00E457B5"/>
    <w:rsid w:val="00E54E68"/>
    <w:rsid w:val="00E55A33"/>
    <w:rsid w:val="00E57099"/>
    <w:rsid w:val="00E62CB6"/>
    <w:rsid w:val="00E63E09"/>
    <w:rsid w:val="00E653C6"/>
    <w:rsid w:val="00E77D3E"/>
    <w:rsid w:val="00E84F6E"/>
    <w:rsid w:val="00E87AFB"/>
    <w:rsid w:val="00EB217E"/>
    <w:rsid w:val="00EB2692"/>
    <w:rsid w:val="00EB7879"/>
    <w:rsid w:val="00ED2114"/>
    <w:rsid w:val="00EE0117"/>
    <w:rsid w:val="00EE3CB9"/>
    <w:rsid w:val="00EE770E"/>
    <w:rsid w:val="00EF06A7"/>
    <w:rsid w:val="00F04DFC"/>
    <w:rsid w:val="00F1628C"/>
    <w:rsid w:val="00F21123"/>
    <w:rsid w:val="00F21918"/>
    <w:rsid w:val="00F220FB"/>
    <w:rsid w:val="00F224B6"/>
    <w:rsid w:val="00F253CE"/>
    <w:rsid w:val="00F37508"/>
    <w:rsid w:val="00F377F4"/>
    <w:rsid w:val="00F46B9A"/>
    <w:rsid w:val="00F66E49"/>
    <w:rsid w:val="00F918AF"/>
    <w:rsid w:val="00F95CB2"/>
    <w:rsid w:val="00FC41A5"/>
    <w:rsid w:val="00FC6E85"/>
    <w:rsid w:val="00FE5671"/>
    <w:rsid w:val="0619071B"/>
    <w:rsid w:val="2D686AB1"/>
    <w:rsid w:val="3FBE002C"/>
    <w:rsid w:val="54085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uiPriority w:val="0"/>
    <w:rPr>
      <w:b/>
      <w:bCs/>
    </w:rPr>
  </w:style>
  <w:style w:type="character" w:styleId="9">
    <w:name w:val="Emphasis"/>
    <w:qFormat/>
    <w:uiPriority w:val="20"/>
    <w:rPr>
      <w:i/>
      <w:iCs/>
    </w:rPr>
  </w:style>
  <w:style w:type="character" w:styleId="10">
    <w:name w:val="Hyperlink"/>
    <w:uiPriority w:val="0"/>
    <w:rPr>
      <w:color w:val="0000FF"/>
      <w:u w:val="single"/>
    </w:rPr>
  </w:style>
  <w:style w:type="character" w:styleId="11">
    <w:name w:val="annotation reference"/>
    <w:semiHidden/>
    <w:uiPriority w:val="0"/>
    <w:rPr>
      <w:sz w:val="21"/>
      <w:szCs w:val="21"/>
    </w:rPr>
  </w:style>
  <w:style w:type="character" w:customStyle="1" w:styleId="12">
    <w:name w:val="页眉 字符"/>
    <w:link w:val="5"/>
    <w:uiPriority w:val="0"/>
    <w:rPr>
      <w:kern w:val="2"/>
      <w:sz w:val="18"/>
      <w:szCs w:val="18"/>
    </w:rPr>
  </w:style>
  <w:style w:type="character" w:customStyle="1" w:styleId="13">
    <w:name w:val="页脚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265</Words>
  <Characters>1517</Characters>
  <Lines>12</Lines>
  <Paragraphs>3</Paragraphs>
  <TotalTime>4</TotalTime>
  <ScaleCrop>false</ScaleCrop>
  <LinksUpToDate>false</LinksUpToDate>
  <CharactersWithSpaces>1779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2021-02-24T08:05:00Z</dcterms:created>
  <dc:creator>张凤</dc:creator>
  <cp:lastModifiedBy>WPS_1602295432</cp:lastModifiedBy>
  <cp:lastPrinted>2021-02-25T06:53:00Z</cp:lastPrinted>
  <dcterms:modified xsi:type="dcterms:W3CDTF">2023-04-19T00:45:17Z</dcterms:modified>
  <dc:title>招聘手册</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53DE8134A7254C0099E626AF027911F7</vt:lpwstr>
  </property>
</Properties>
</file>