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微软雅黑" w:hAnsi="微软雅黑" w:eastAsia="微软雅黑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泸州老窖窖龄酒类销售股份有限公司</w:t>
      </w:r>
    </w:p>
    <w:p>
      <w:pPr>
        <w:spacing w:line="580" w:lineRule="exact"/>
        <w:jc w:val="center"/>
        <w:rPr>
          <w:rFonts w:ascii="微软雅黑" w:hAnsi="微软雅黑" w:eastAsia="微软雅黑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届校园</w:t>
      </w:r>
      <w:r>
        <w:rPr>
          <w:rFonts w:ascii="微软雅黑" w:hAnsi="微软雅黑" w:eastAsia="微软雅黑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</w:t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公司简介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2011 年，泸州老窖深入挖掘“窖池资源”价值，“以窖命名，以龄定级”，依托泸州老窖窖池资源与传统酿造技艺，推出了百年泸州老窖窖龄酒品牌。产品包括窖龄30年、窖龄60年、窖龄90年。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百年泸州老窖窖龄酒作为泸州老窖核心战略品牌，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也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是首家推出窖龄酒的品牌，牵头制定了国内首部“窖龄酒品类”的行业标准，填补了中国白酒的市场空白，成为中国白酒“窖龄”品类的开创者和领导者，也开启了中国白酒的“窖龄”时代。</w:t>
      </w:r>
    </w:p>
    <w:p>
      <w:pPr>
        <w:spacing w:line="360" w:lineRule="auto"/>
        <w:ind w:firstLine="480" w:firstLineChars="200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2014年，泸州老窖窖龄酒类销售股份有限公司正式成立，总部位于四川省泸州市，目前已独立运营泸州老窖核心单品“窖龄酒”产品十余年。在全国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30余个省设立销售办事处，产品布局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150余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个城市，自推出以来累计实现销售规模突破100亿+。</w:t>
      </w:r>
    </w:p>
    <w:p>
      <w:pPr>
        <w:spacing w:line="580" w:lineRule="exact"/>
        <w:ind w:firstLine="480" w:firstLineChars="200"/>
        <w:jc w:val="left"/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在10年发展历程中，公司奉行“人才是资本，有为必有位”的人才管理理念，为员工提供全面的培训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培养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体系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为大力推动及落实大学生成长，公司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在河北、江苏、上海、浙江等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省份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孵化多个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培养基地，目前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在培养期内的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超过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超9成大学生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已晋升为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区域管理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致力让校招生梯队具备有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竞争力的薪酬以及与能力相匹配的职业发展通道，让优秀人才脱颖而出。</w:t>
      </w:r>
    </w:p>
    <w:p>
      <w:pPr>
        <w:spacing w:line="360" w:lineRule="auto"/>
        <w:rPr>
          <w:rFonts w:hint="eastAsia" w:ascii="微软雅黑" w:hAnsi="微软雅黑" w:eastAsia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二、招聘信息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（一）招聘岗位：销售培训生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（二）招聘要求：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1、202</w:t>
      </w:r>
      <w:r>
        <w:rPr>
          <w:rFonts w:hint="eastAsia" w:ascii="微软雅黑" w:hAnsi="微软雅黑" w:eastAsia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年应届毕业生，专业不限</w:t>
      </w:r>
      <w:r>
        <w:rPr>
          <w:rFonts w:hint="eastAsia" w:ascii="微软雅黑" w:hAnsi="微软雅黑" w:eastAsia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、性格外向开朗，善于沟通，有责任心，学习能力及执行力强，对白酒营销工作有意向及发展意愿；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、接受全国调动（第一年分配至人才培养基地集中培养，第二年分配至核心城市市场历练）</w:t>
      </w:r>
      <w:r>
        <w:rPr>
          <w:rFonts w:hint="eastAsia" w:ascii="微软雅黑" w:hAnsi="微软雅黑" w:eastAsia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三、薪酬福利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（一）薪酬待遇：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第一年（基地培养期）：年度综合薪酬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万起，公司提供统一住宿集中培养。</w:t>
      </w:r>
    </w:p>
    <w:p>
      <w:pPr>
        <w:spacing w:line="580" w:lineRule="exact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第二年（区域培养期）：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年度综合薪酬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11-16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（二）福利补贴：</w:t>
      </w:r>
    </w:p>
    <w:p>
      <w:pPr>
        <w:spacing w:line="580" w:lineRule="exact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社保福利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（五险一金+企业年金+补充医疗险）</w:t>
      </w:r>
    </w:p>
    <w:p>
      <w:pPr>
        <w:spacing w:line="580" w:lineRule="exact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现金补贴（生活补贴、夏季补贴、冬季补贴、学习型组织奖励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符合条件者享受探亲补贴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580" w:lineRule="exact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公司福利（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工作服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节日慰问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生日活动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女工福利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定期体检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、党工团活动）</w:t>
      </w:r>
    </w:p>
    <w:p>
      <w:pPr>
        <w:spacing w:line="580" w:lineRule="exact"/>
        <w:jc w:val="left"/>
        <w:rPr>
          <w:rFonts w:hint="eastAsia" w:ascii="微软雅黑" w:hAnsi="微软雅黑" w:eastAsia="微软雅黑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休息休假（带薪年假、婚假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产假/陪护假）</w:t>
      </w:r>
    </w:p>
    <w:p>
      <w:pPr>
        <w:spacing w:line="580" w:lineRule="exact"/>
        <w:jc w:val="left"/>
        <w:rPr>
          <w:rFonts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</w:t>
      </w:r>
      <w:r>
        <w:rPr>
          <w:rFonts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培养与晋升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（一）培养路径</w:t>
      </w:r>
    </w:p>
    <w:p>
      <w:pPr>
        <w:spacing w:line="580" w:lineRule="exact"/>
        <w:ind w:firstLine="480" w:firstLineChars="200"/>
        <w:jc w:val="left"/>
        <w:rPr>
          <w:rFonts w:hint="default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公司建立了2年期专属培养计划，帮助销售培训生快速从销售小白成长为</w:t>
      </w:r>
      <w:r>
        <w:rPr>
          <w:rFonts w:hint="eastAsia" w:ascii="微软雅黑" w:hAnsi="微软雅黑" w:eastAsia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区县经理。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第一阶段：初识窖龄（入职前）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开展集体沙龙、前置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系统性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培训，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老窖游等活动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帮助您在入职前对企业及行业有初步认识，并与未来的职场伙伴亲密交流。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第二阶段：入职起航 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总部集训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素质拓展、基础营销理论、职场转变等知识学习，加快融入团队，明确自身定位和发展目标。</w:t>
      </w:r>
    </w:p>
    <w:p>
      <w:pPr>
        <w:spacing w:line="580" w:lineRule="exact"/>
        <w:ind w:firstLine="480" w:firstLineChars="200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第三阶段：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基地培养期</w:t>
      </w:r>
      <w:r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集中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培养1</w:t>
      </w:r>
      <w:r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年）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全面接触、适应基础业务工作，通过专属导师带教、战训结合方式，进行基础技能学习及提升，从初级业务代表成长为业务能手，表现优异者可提前晋升至见习主管，并进入下一阶段培养。</w:t>
      </w:r>
    </w:p>
    <w:p>
      <w:pPr>
        <w:spacing w:line="580" w:lineRule="exact"/>
        <w:ind w:firstLine="480" w:firstLineChars="200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第四阶段：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区域培养期</w:t>
      </w:r>
      <w:r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核心城市历练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1年）</w:t>
      </w:r>
    </w:p>
    <w:p>
      <w:pPr>
        <w:spacing w:line="580" w:lineRule="exact"/>
        <w:ind w:firstLine="480" w:firstLineChars="200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分配至全国核心发展区域，通过专属导师带教，学习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级市场运营、团队管理，逐渐承担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管理职责，从见习主管成长为成熟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区县经理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，表现优异者可跨级晋升。</w:t>
      </w:r>
    </w:p>
    <w:p>
      <w:pPr>
        <w:spacing w:line="580" w:lineRule="exact"/>
        <w:ind w:firstLine="480" w:firstLineChars="200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（二）岗位晋升路径</w:t>
      </w:r>
    </w:p>
    <w:p>
      <w:pPr>
        <w:spacing w:line="580" w:lineRule="exact"/>
        <w:ind w:firstLine="480" w:firstLineChars="200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公司具备完整晋升发展通道，对于销售培训生，公司坚持“人才</w:t>
      </w:r>
      <w:r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7分熟”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“有为必有位”的</w:t>
      </w:r>
      <w:r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用人理念，加速赋能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480" w:firstLineChars="200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销售培训生（1年）——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区县经理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年）——城市经理（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年）——片区经理（5年及以上）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（业绩、能力综合考评）</w:t>
      </w:r>
    </w:p>
    <w:p>
      <w:pPr>
        <w:tabs>
          <w:tab w:val="left" w:pos="3975"/>
        </w:tabs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（三）成长辅导</w:t>
      </w:r>
      <w:r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实训集中培养加速角色转变：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人才基地专项培养、导师带教计划、营销案例学习、阶段性总结辅导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常规在岗培训助力个人成长：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线上云端商学院平台、分层分级培养计划、人才盘点及改进、送外培训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交流学习拓宽视野：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跨区域交流活动、各级业务研讨规划会议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知识分享促进经验沉淀：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课程开发竞赛、讲师训练营</w:t>
      </w:r>
    </w:p>
    <w:p>
      <w:pPr>
        <w:spacing w:line="580" w:lineRule="exact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招聘行程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（一）线上简历投递（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月-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月）</w:t>
      </w:r>
    </w:p>
    <w:p>
      <w:pPr>
        <w:spacing w:line="580" w:lineRule="exact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通过校招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官方手机端二维码或P</w:t>
      </w:r>
      <w:r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端链接投递。</w:t>
      </w:r>
    </w:p>
    <w:p>
      <w:pPr>
        <w:spacing w:line="580" w:lineRule="exact"/>
        <w:ind w:firstLine="480" w:firstLineChars="200"/>
        <w:jc w:val="left"/>
        <w:rPr>
          <w:rFonts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）面试安排</w:t>
      </w:r>
    </w:p>
    <w:tbl>
      <w:tblPr>
        <w:tblStyle w:val="7"/>
        <w:tblW w:w="864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874"/>
        <w:gridCol w:w="2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简历投递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网申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月-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初试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（线上）初试</w:t>
            </w:r>
          </w:p>
        </w:tc>
        <w:tc>
          <w:tcPr>
            <w:tcW w:w="27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月-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月轮动开展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复试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（线上）复试</w:t>
            </w:r>
          </w:p>
        </w:tc>
        <w:tc>
          <w:tcPr>
            <w:tcW w:w="275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终试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（线上）高管面谈</w:t>
            </w:r>
          </w:p>
        </w:tc>
        <w:tc>
          <w:tcPr>
            <w:tcW w:w="2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录用通知</w:t>
            </w:r>
          </w:p>
        </w:tc>
        <w:tc>
          <w:tcPr>
            <w:tcW w:w="7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终试结束后一周内发放offer及就业协议签订通知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六、简历</w:t>
      </w:r>
      <w:r>
        <w:rPr>
          <w:rFonts w:hint="eastAsia" w:ascii="微软雅黑" w:hAnsi="微软雅黑" w:eastAsia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投递链接</w:t>
      </w:r>
    </w:p>
    <w:p>
      <w:pPr>
        <w:ind w:left="479" w:leftChars="228" w:firstLine="0" w:firstLineChars="0"/>
        <w:rPr>
          <w:rStyle w:val="12"/>
          <w:rFonts w:hint="default" w:ascii="微软雅黑" w:hAnsi="微软雅黑" w:eastAsia="微软雅黑" w:cs="Times New Roman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登录泸州老窖-窖龄酒公司校招网址：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instrText xml:space="preserve"> HYPERLINK "https://job.lzlj.com/jlj" </w:instrText>
      </w:r>
      <w:r>
        <w:rPr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https://job.lzlj.com/jlj</w:t>
      </w:r>
      <w:r>
        <w:rPr>
          <w:rStyle w:val="12"/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Style w:val="12"/>
          <w:rFonts w:hint="eastAsia" w:ascii="微软雅黑" w:hAnsi="微软雅黑" w:eastAsia="微软雅黑" w:cs="Times New Roman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扫码速投</w:t>
      </w:r>
    </w:p>
    <w:p>
      <w:pPr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38400" cy="2438400"/>
            <wp:effectExtent l="0" t="0" r="0" b="0"/>
            <wp:docPr id="1" name="图片 1" descr="https___job.lzlj.com_j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___job.lzlj.com_jl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Style w:val="12"/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Times New Roman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方正黑体简体" w:cs="Times New Roman"/>
          <w:color w:val="FF0000"/>
          <w:sz w:val="32"/>
          <w:szCs w:val="32"/>
        </w:rPr>
      </w:pPr>
    </w:p>
    <w:sectPr>
      <w:pgSz w:w="11906" w:h="16838"/>
      <w:pgMar w:top="1797" w:right="1503" w:bottom="1559" w:left="15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039E132D-6646-4C67-82E9-36E7D3CC8DE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12461"/>
    <w:multiLevelType w:val="singleLevel"/>
    <w:tmpl w:val="E28124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jBiZTcyNGMzNTRiOGU5YjJiOGY1OGY0MzhmNjAifQ=="/>
  </w:docVars>
  <w:rsids>
    <w:rsidRoot w:val="00B74540"/>
    <w:rsid w:val="0001247D"/>
    <w:rsid w:val="000505CC"/>
    <w:rsid w:val="00052152"/>
    <w:rsid w:val="00057E7E"/>
    <w:rsid w:val="00062286"/>
    <w:rsid w:val="000733DF"/>
    <w:rsid w:val="00074AEB"/>
    <w:rsid w:val="00075608"/>
    <w:rsid w:val="0008635D"/>
    <w:rsid w:val="000967FE"/>
    <w:rsid w:val="00096D3F"/>
    <w:rsid w:val="000A00BB"/>
    <w:rsid w:val="000A0C50"/>
    <w:rsid w:val="000A120D"/>
    <w:rsid w:val="000A61CC"/>
    <w:rsid w:val="000B3D88"/>
    <w:rsid w:val="000B6731"/>
    <w:rsid w:val="000B7433"/>
    <w:rsid w:val="000C17C4"/>
    <w:rsid w:val="000D3895"/>
    <w:rsid w:val="000D530C"/>
    <w:rsid w:val="000E369E"/>
    <w:rsid w:val="000E39D6"/>
    <w:rsid w:val="000F358F"/>
    <w:rsid w:val="00114DA6"/>
    <w:rsid w:val="001166CD"/>
    <w:rsid w:val="0012482C"/>
    <w:rsid w:val="001606C8"/>
    <w:rsid w:val="001733A1"/>
    <w:rsid w:val="00181717"/>
    <w:rsid w:val="00183281"/>
    <w:rsid w:val="001972D3"/>
    <w:rsid w:val="001A0F20"/>
    <w:rsid w:val="001A7B03"/>
    <w:rsid w:val="001B2CF5"/>
    <w:rsid w:val="001B3BCD"/>
    <w:rsid w:val="001C4F24"/>
    <w:rsid w:val="001D2E65"/>
    <w:rsid w:val="001E3260"/>
    <w:rsid w:val="001E44DC"/>
    <w:rsid w:val="001E6D85"/>
    <w:rsid w:val="001F5A3A"/>
    <w:rsid w:val="00233528"/>
    <w:rsid w:val="00233745"/>
    <w:rsid w:val="002368C8"/>
    <w:rsid w:val="00241FDF"/>
    <w:rsid w:val="002509AF"/>
    <w:rsid w:val="0026022C"/>
    <w:rsid w:val="00272D71"/>
    <w:rsid w:val="00274DA2"/>
    <w:rsid w:val="00280D46"/>
    <w:rsid w:val="00282FCC"/>
    <w:rsid w:val="002B4535"/>
    <w:rsid w:val="002B50A2"/>
    <w:rsid w:val="002C38FF"/>
    <w:rsid w:val="002C3E57"/>
    <w:rsid w:val="002C5BA4"/>
    <w:rsid w:val="002F748B"/>
    <w:rsid w:val="00314B15"/>
    <w:rsid w:val="00321C84"/>
    <w:rsid w:val="00326CF4"/>
    <w:rsid w:val="0033401F"/>
    <w:rsid w:val="00337431"/>
    <w:rsid w:val="0034018C"/>
    <w:rsid w:val="00342725"/>
    <w:rsid w:val="00344ECA"/>
    <w:rsid w:val="00355250"/>
    <w:rsid w:val="00356310"/>
    <w:rsid w:val="00363975"/>
    <w:rsid w:val="00364045"/>
    <w:rsid w:val="003649E8"/>
    <w:rsid w:val="00375E99"/>
    <w:rsid w:val="00382C16"/>
    <w:rsid w:val="00383252"/>
    <w:rsid w:val="00384B45"/>
    <w:rsid w:val="003931E9"/>
    <w:rsid w:val="003944B9"/>
    <w:rsid w:val="003D433B"/>
    <w:rsid w:val="003E2487"/>
    <w:rsid w:val="003E6D6A"/>
    <w:rsid w:val="00406E5C"/>
    <w:rsid w:val="00416700"/>
    <w:rsid w:val="00417A8F"/>
    <w:rsid w:val="004205FF"/>
    <w:rsid w:val="004405B9"/>
    <w:rsid w:val="00440AC9"/>
    <w:rsid w:val="00445938"/>
    <w:rsid w:val="00460775"/>
    <w:rsid w:val="0046113D"/>
    <w:rsid w:val="0046710F"/>
    <w:rsid w:val="00475091"/>
    <w:rsid w:val="00483722"/>
    <w:rsid w:val="00492449"/>
    <w:rsid w:val="004945CE"/>
    <w:rsid w:val="00494AFD"/>
    <w:rsid w:val="004B5D2B"/>
    <w:rsid w:val="004C463F"/>
    <w:rsid w:val="004E6205"/>
    <w:rsid w:val="0050362D"/>
    <w:rsid w:val="00506BF4"/>
    <w:rsid w:val="00513193"/>
    <w:rsid w:val="00516C06"/>
    <w:rsid w:val="00523EB4"/>
    <w:rsid w:val="00536BDB"/>
    <w:rsid w:val="00541BA3"/>
    <w:rsid w:val="005433C6"/>
    <w:rsid w:val="005436D2"/>
    <w:rsid w:val="00552CFA"/>
    <w:rsid w:val="00552DFD"/>
    <w:rsid w:val="00554B1B"/>
    <w:rsid w:val="00570247"/>
    <w:rsid w:val="0057159A"/>
    <w:rsid w:val="005752D4"/>
    <w:rsid w:val="00584B76"/>
    <w:rsid w:val="005852B3"/>
    <w:rsid w:val="005859F8"/>
    <w:rsid w:val="005876FD"/>
    <w:rsid w:val="00596320"/>
    <w:rsid w:val="005A060A"/>
    <w:rsid w:val="005A4191"/>
    <w:rsid w:val="005A459D"/>
    <w:rsid w:val="005B0207"/>
    <w:rsid w:val="005D0FCB"/>
    <w:rsid w:val="005D2E92"/>
    <w:rsid w:val="005E4964"/>
    <w:rsid w:val="005E6BB4"/>
    <w:rsid w:val="005F0D5B"/>
    <w:rsid w:val="0060609D"/>
    <w:rsid w:val="00610309"/>
    <w:rsid w:val="00615749"/>
    <w:rsid w:val="0063254D"/>
    <w:rsid w:val="00634B2A"/>
    <w:rsid w:val="00664C54"/>
    <w:rsid w:val="00665B14"/>
    <w:rsid w:val="00671D48"/>
    <w:rsid w:val="00684B4D"/>
    <w:rsid w:val="006939B4"/>
    <w:rsid w:val="006A2CC7"/>
    <w:rsid w:val="006A4EC3"/>
    <w:rsid w:val="006A5717"/>
    <w:rsid w:val="006B00AB"/>
    <w:rsid w:val="006B0383"/>
    <w:rsid w:val="006B0BDD"/>
    <w:rsid w:val="006B5631"/>
    <w:rsid w:val="006B6FC1"/>
    <w:rsid w:val="006C1FAE"/>
    <w:rsid w:val="006C3EE0"/>
    <w:rsid w:val="006C62C8"/>
    <w:rsid w:val="006D3F91"/>
    <w:rsid w:val="006D57E3"/>
    <w:rsid w:val="006E6CB8"/>
    <w:rsid w:val="006F7D3E"/>
    <w:rsid w:val="00703B04"/>
    <w:rsid w:val="007056AB"/>
    <w:rsid w:val="0071450A"/>
    <w:rsid w:val="0071491D"/>
    <w:rsid w:val="00716E23"/>
    <w:rsid w:val="007214A2"/>
    <w:rsid w:val="00740888"/>
    <w:rsid w:val="00745720"/>
    <w:rsid w:val="0074760E"/>
    <w:rsid w:val="00762213"/>
    <w:rsid w:val="0076242F"/>
    <w:rsid w:val="00763331"/>
    <w:rsid w:val="00763E1F"/>
    <w:rsid w:val="00766BCC"/>
    <w:rsid w:val="00772DFF"/>
    <w:rsid w:val="007808F4"/>
    <w:rsid w:val="00781A50"/>
    <w:rsid w:val="00796F2C"/>
    <w:rsid w:val="007C388A"/>
    <w:rsid w:val="007C7EED"/>
    <w:rsid w:val="007D055C"/>
    <w:rsid w:val="007D082D"/>
    <w:rsid w:val="007D60AC"/>
    <w:rsid w:val="007E0AFE"/>
    <w:rsid w:val="007E2123"/>
    <w:rsid w:val="007F30AC"/>
    <w:rsid w:val="007F727D"/>
    <w:rsid w:val="00823F2C"/>
    <w:rsid w:val="00844FB5"/>
    <w:rsid w:val="00846195"/>
    <w:rsid w:val="00855366"/>
    <w:rsid w:val="00857467"/>
    <w:rsid w:val="00861B3A"/>
    <w:rsid w:val="00884351"/>
    <w:rsid w:val="00891591"/>
    <w:rsid w:val="00893E2A"/>
    <w:rsid w:val="00897F9D"/>
    <w:rsid w:val="008A6864"/>
    <w:rsid w:val="008A76E6"/>
    <w:rsid w:val="008B57CF"/>
    <w:rsid w:val="008B5B20"/>
    <w:rsid w:val="008B7992"/>
    <w:rsid w:val="00913412"/>
    <w:rsid w:val="0093148E"/>
    <w:rsid w:val="009432A9"/>
    <w:rsid w:val="009722A9"/>
    <w:rsid w:val="009722D0"/>
    <w:rsid w:val="00977357"/>
    <w:rsid w:val="00977939"/>
    <w:rsid w:val="009816CB"/>
    <w:rsid w:val="0099423E"/>
    <w:rsid w:val="009A47C9"/>
    <w:rsid w:val="009A49AA"/>
    <w:rsid w:val="009A6007"/>
    <w:rsid w:val="009B3BF8"/>
    <w:rsid w:val="009B50EE"/>
    <w:rsid w:val="009B5340"/>
    <w:rsid w:val="009C15B2"/>
    <w:rsid w:val="009D38A0"/>
    <w:rsid w:val="009D5952"/>
    <w:rsid w:val="009E0B18"/>
    <w:rsid w:val="009F408A"/>
    <w:rsid w:val="00A152DC"/>
    <w:rsid w:val="00A17B20"/>
    <w:rsid w:val="00A25FAE"/>
    <w:rsid w:val="00A2766B"/>
    <w:rsid w:val="00A40257"/>
    <w:rsid w:val="00A521E3"/>
    <w:rsid w:val="00A5248D"/>
    <w:rsid w:val="00A67145"/>
    <w:rsid w:val="00A74A43"/>
    <w:rsid w:val="00A83599"/>
    <w:rsid w:val="00A87192"/>
    <w:rsid w:val="00AA6367"/>
    <w:rsid w:val="00AB4C0F"/>
    <w:rsid w:val="00AD46C9"/>
    <w:rsid w:val="00B078D2"/>
    <w:rsid w:val="00B25B6F"/>
    <w:rsid w:val="00B32B86"/>
    <w:rsid w:val="00B431EF"/>
    <w:rsid w:val="00B74540"/>
    <w:rsid w:val="00B84EC8"/>
    <w:rsid w:val="00B93544"/>
    <w:rsid w:val="00BA5D92"/>
    <w:rsid w:val="00BB305A"/>
    <w:rsid w:val="00BC1AE7"/>
    <w:rsid w:val="00BC488A"/>
    <w:rsid w:val="00BD3178"/>
    <w:rsid w:val="00BD3846"/>
    <w:rsid w:val="00BE3574"/>
    <w:rsid w:val="00BE411A"/>
    <w:rsid w:val="00BE7382"/>
    <w:rsid w:val="00BF3279"/>
    <w:rsid w:val="00C1731D"/>
    <w:rsid w:val="00C414DD"/>
    <w:rsid w:val="00C62557"/>
    <w:rsid w:val="00C826B5"/>
    <w:rsid w:val="00C844B3"/>
    <w:rsid w:val="00C97BEB"/>
    <w:rsid w:val="00CA2B46"/>
    <w:rsid w:val="00CA7367"/>
    <w:rsid w:val="00CB148F"/>
    <w:rsid w:val="00CB4ECD"/>
    <w:rsid w:val="00CB546C"/>
    <w:rsid w:val="00CB79A5"/>
    <w:rsid w:val="00CC6D52"/>
    <w:rsid w:val="00CE6648"/>
    <w:rsid w:val="00D0049B"/>
    <w:rsid w:val="00D00C71"/>
    <w:rsid w:val="00D07B4F"/>
    <w:rsid w:val="00D106DC"/>
    <w:rsid w:val="00D17701"/>
    <w:rsid w:val="00D21AF8"/>
    <w:rsid w:val="00D2292A"/>
    <w:rsid w:val="00D246FA"/>
    <w:rsid w:val="00D31028"/>
    <w:rsid w:val="00D364EE"/>
    <w:rsid w:val="00D40262"/>
    <w:rsid w:val="00D5665E"/>
    <w:rsid w:val="00D61AE8"/>
    <w:rsid w:val="00D62FAD"/>
    <w:rsid w:val="00D639A7"/>
    <w:rsid w:val="00D726B9"/>
    <w:rsid w:val="00D8442C"/>
    <w:rsid w:val="00D8569C"/>
    <w:rsid w:val="00D91B16"/>
    <w:rsid w:val="00DE0ECC"/>
    <w:rsid w:val="00DF08E8"/>
    <w:rsid w:val="00DF2343"/>
    <w:rsid w:val="00DF4B98"/>
    <w:rsid w:val="00E02B7A"/>
    <w:rsid w:val="00E16E22"/>
    <w:rsid w:val="00E174C7"/>
    <w:rsid w:val="00E41E58"/>
    <w:rsid w:val="00E46655"/>
    <w:rsid w:val="00E53A18"/>
    <w:rsid w:val="00E6756D"/>
    <w:rsid w:val="00E7060A"/>
    <w:rsid w:val="00E8371A"/>
    <w:rsid w:val="00E84316"/>
    <w:rsid w:val="00E97158"/>
    <w:rsid w:val="00EA48E4"/>
    <w:rsid w:val="00EB7469"/>
    <w:rsid w:val="00EC1EFB"/>
    <w:rsid w:val="00EC22EB"/>
    <w:rsid w:val="00EC5344"/>
    <w:rsid w:val="00EE2FDB"/>
    <w:rsid w:val="00EF20FA"/>
    <w:rsid w:val="00EF6BAD"/>
    <w:rsid w:val="00F03A95"/>
    <w:rsid w:val="00F06F8C"/>
    <w:rsid w:val="00F07DC5"/>
    <w:rsid w:val="00F2211E"/>
    <w:rsid w:val="00F2637E"/>
    <w:rsid w:val="00F30FBD"/>
    <w:rsid w:val="00F33DF6"/>
    <w:rsid w:val="00F3547E"/>
    <w:rsid w:val="00F4028D"/>
    <w:rsid w:val="00F44544"/>
    <w:rsid w:val="00F5006E"/>
    <w:rsid w:val="00F576A6"/>
    <w:rsid w:val="00F672D4"/>
    <w:rsid w:val="00F76823"/>
    <w:rsid w:val="00F84CBB"/>
    <w:rsid w:val="00F87FFD"/>
    <w:rsid w:val="00F93E06"/>
    <w:rsid w:val="00F976A2"/>
    <w:rsid w:val="00FA1E06"/>
    <w:rsid w:val="00FA2B90"/>
    <w:rsid w:val="00FA4A8F"/>
    <w:rsid w:val="00FA55DC"/>
    <w:rsid w:val="00FC17BA"/>
    <w:rsid w:val="00FC6C07"/>
    <w:rsid w:val="00FD05FC"/>
    <w:rsid w:val="00FD1382"/>
    <w:rsid w:val="00FD3202"/>
    <w:rsid w:val="00FD4F1E"/>
    <w:rsid w:val="00FD5084"/>
    <w:rsid w:val="00FD511B"/>
    <w:rsid w:val="00FE067F"/>
    <w:rsid w:val="00FE67B9"/>
    <w:rsid w:val="09710E6B"/>
    <w:rsid w:val="129F0C3F"/>
    <w:rsid w:val="27084A1F"/>
    <w:rsid w:val="2A185D42"/>
    <w:rsid w:val="38F92687"/>
    <w:rsid w:val="3DBC2654"/>
    <w:rsid w:val="3F0C4253"/>
    <w:rsid w:val="41CF4BFE"/>
    <w:rsid w:val="4DBF4945"/>
    <w:rsid w:val="536117B2"/>
    <w:rsid w:val="58A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  <w:rPr>
      <w:szCs w:val="2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List Accent 5"/>
    <w:basedOn w:val="7"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0">
    <w:name w:val="Light Grid Accent 5"/>
    <w:basedOn w:val="7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3"/>
    <w:semiHidden/>
    <w:qFormat/>
    <w:uiPriority w:val="99"/>
    <w:rPr>
      <w:sz w:val="18"/>
      <w:szCs w:val="18"/>
    </w:rPr>
  </w:style>
  <w:style w:type="paragraph" w:customStyle="1" w:styleId="17">
    <w:name w:val="ti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批注文字 字符"/>
    <w:basedOn w:val="11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C6AA-3543-457A-88F8-E92C3FE65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264</Words>
  <Characters>1508</Characters>
  <Lines>12</Lines>
  <Paragraphs>3</Paragraphs>
  <TotalTime>437</TotalTime>
  <ScaleCrop>false</ScaleCrop>
  <LinksUpToDate>false</LinksUpToDate>
  <CharactersWithSpaces>1769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2021-03-05T10:12:00Z</dcterms:created>
  <dc:creator>Windows 用户</dc:creator>
  <cp:lastModifiedBy>旺Zz </cp:lastModifiedBy>
  <dcterms:modified xsi:type="dcterms:W3CDTF">2023-10-10T08:38:31Z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F3F9592F9B7544F7851401A4AF7CD24D_13</vt:lpwstr>
  </property>
</Properties>
</file>