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bCs/>
          <w:sz w:val="36"/>
          <w:szCs w:val="36"/>
        </w:rPr>
      </w:pPr>
      <w:bookmarkStart w:id="0" w:name="_GoBack"/>
      <w:r>
        <w:rPr>
          <w:rFonts w:hint="eastAsia"/>
          <w:b/>
          <w:bCs/>
          <w:sz w:val="44"/>
          <w:szCs w:val="44"/>
        </w:rPr>
        <w:t>长城钻探公司2021届高校毕业生春季招聘公告</w:t>
      </w:r>
    </w:p>
    <w:p>
      <w:pPr>
        <w:spacing w:line="560" w:lineRule="exact"/>
        <w:rPr>
          <w:rFonts w:ascii="微软雅黑" w:hAnsi="微软雅黑" w:eastAsia="微软雅黑" w:cs="微软雅黑"/>
          <w:b/>
          <w:bCs/>
          <w:sz w:val="32"/>
          <w:szCs w:val="32"/>
        </w:rPr>
      </w:pPr>
    </w:p>
    <w:p>
      <w:pPr>
        <w:rPr>
          <w:b/>
          <w:bCs/>
          <w:sz w:val="32"/>
          <w:szCs w:val="32"/>
        </w:rPr>
      </w:pPr>
      <w:r>
        <w:rPr>
          <w:rFonts w:hint="eastAsia" w:ascii="微软雅黑" w:hAnsi="微软雅黑" w:eastAsia="微软雅黑" w:cs="微软雅黑"/>
          <w:b/>
          <w:bCs/>
          <w:sz w:val="32"/>
          <w:szCs w:val="32"/>
        </w:rPr>
        <w:t>◆</w:t>
      </w:r>
      <w:r>
        <w:rPr>
          <w:rFonts w:hint="eastAsia"/>
          <w:b/>
          <w:bCs/>
          <w:sz w:val="32"/>
          <w:szCs w:val="32"/>
        </w:rPr>
        <w:t>公司简介</w:t>
      </w:r>
    </w:p>
    <w:p>
      <w:pPr>
        <w:ind w:firstLine="420" w:firstLineChars="200"/>
      </w:pPr>
      <w:r>
        <w:rPr>
          <w:rFonts w:hint="eastAsia"/>
        </w:rPr>
        <w:t>中国石油集团长城钻探工程有限公司（简称中国石油长城钻探工程公司，英文缩写GWDC），为中国石油天然气集团公司的直属专业化石油工程技术服务公司。公司现有用工总量近3万人，主营业务包括钻修井、技术服务、风险总承包三大板块，业务领域涵盖地质勘探、钻井、测井、录井、井下作业等石油工程技术全产业链，并向油气田前期地质研究、勘探开发方案设计、天然气（煤层气、页岩气）开发、地热开发、油田生产管理等领域延伸，具备石油工程技术一体化总承包服务能力。国内市场主要包括辽河、长庆、大庆以及国际油公司国内反承包市场，海外业务分布在非洲、中亚、中东、美洲4个大区的33个国家，累计为130多个客户提供服务。</w:t>
      </w:r>
    </w:p>
    <w:p>
      <w:r>
        <w:rPr>
          <w:rFonts w:hint="eastAsia"/>
        </w:rPr>
        <w:t xml:space="preserve">    长城钻探公司坚持以科技为先导，组建了以工程技术研究院和地质研究院为核心的技术支撑体系，在全球范围内对公司业务提供支持，形成了多分支钻完井、欠平衡钻井、过套管电阻率测井、录井信息服务、高温高压井测试以及低渗气田和稠油油藏开发等一系列优势特色技术。 </w:t>
      </w:r>
    </w:p>
    <w:p>
      <w:r>
        <w:rPr>
          <w:rFonts w:hint="eastAsia"/>
        </w:rPr>
        <w:t xml:space="preserve">    长城钻探公司集成了完整的石油工程技术装备能力，先后引进和研发了全液压钻机、气体钻井设备、定向井钻井设备、LWD 、连续油管设备、大型压裂车组、先进固井设备及LEAPTM 800 测井系统等高端设备，提高了各业务板块装备技术水平，适应全球范围内各种复杂条件下进行油气勘探开发的需要。</w:t>
      </w:r>
    </w:p>
    <w:p>
      <w:r>
        <w:rPr>
          <w:rFonts w:hint="eastAsia"/>
        </w:rPr>
        <w:t xml:space="preserve">    经过长期的积累，GWDC 和CNLC 在国内外石油工程技术服务市场有广泛的市场认同。长城钻探公司通过了国家级高新技术企业认证、挪威船级社环境管理体系认证（ISO 14001：2004标准）、职业健康安全管理体系认证（OHSAS18001:2007标准 ）、质量管理体系认证（ISO9001：2008/GB/T 19001-2008标准）、能源管理体系认证（ISO 50001），拥有外经贸权和对外经济技术经营权，是国际钻井承包商协会会员，具有国际、国内工程技术服务总承包能力。</w:t>
      </w:r>
    </w:p>
    <w:p>
      <w:pPr>
        <w:ind w:firstLine="420"/>
      </w:pPr>
      <w:r>
        <w:rPr>
          <w:rFonts w:hint="eastAsia"/>
        </w:rPr>
        <w:t>面对新的机遇和挑战，长城钻探公司秉承“ 爱国、创业、求实、奉献” 的企业精神，恪守“ 诚信、创新、安全、卓越” 的核心经营理念，不断提升企业核心竞争力，坚定不移地向国际一流石油工程技术总承包商目标迈进。</w:t>
      </w:r>
    </w:p>
    <w:p>
      <w:pPr>
        <w:rPr>
          <w:b/>
          <w:bCs/>
          <w:sz w:val="32"/>
          <w:szCs w:val="32"/>
        </w:rPr>
      </w:pPr>
      <w:r>
        <w:rPr>
          <w:rFonts w:hint="eastAsia" w:ascii="微软雅黑" w:hAnsi="微软雅黑" w:eastAsia="微软雅黑" w:cs="微软雅黑"/>
          <w:b/>
          <w:bCs/>
          <w:sz w:val="32"/>
          <w:szCs w:val="32"/>
        </w:rPr>
        <w:t>◆</w:t>
      </w:r>
      <w:r>
        <w:rPr>
          <w:rFonts w:hint="eastAsia"/>
          <w:b/>
          <w:bCs/>
          <w:sz w:val="32"/>
          <w:szCs w:val="32"/>
        </w:rPr>
        <w:t>招聘信息</w:t>
      </w:r>
    </w:p>
    <w:tbl>
      <w:tblPr>
        <w:tblStyle w:val="4"/>
        <w:tblW w:w="10496" w:type="dxa"/>
        <w:tblInd w:w="0" w:type="dxa"/>
        <w:tblLayout w:type="fixed"/>
        <w:tblCellMar>
          <w:top w:w="0" w:type="dxa"/>
          <w:left w:w="0" w:type="dxa"/>
          <w:bottom w:w="0" w:type="dxa"/>
          <w:right w:w="0" w:type="dxa"/>
        </w:tblCellMar>
      </w:tblPr>
      <w:tblGrid>
        <w:gridCol w:w="1035"/>
        <w:gridCol w:w="6744"/>
        <w:gridCol w:w="2717"/>
      </w:tblGrid>
      <w:tr>
        <w:tblPrEx>
          <w:tblCellMar>
            <w:top w:w="0" w:type="dxa"/>
            <w:left w:w="0" w:type="dxa"/>
            <w:bottom w:w="0" w:type="dxa"/>
            <w:right w:w="0"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BDD7EE"/>
            <w:tcMar>
              <w:top w:w="15" w:type="dxa"/>
              <w:left w:w="15" w:type="dxa"/>
              <w:right w:w="15" w:type="dxa"/>
            </w:tcMar>
            <w:vAlign w:val="center"/>
          </w:tcPr>
          <w:p>
            <w:pPr>
              <w:widowControl/>
              <w:jc w:val="center"/>
              <w:textAlignment w:val="center"/>
              <w:rPr>
                <w:rFonts w:ascii="等线" w:hAnsi="等线" w:eastAsia="等线" w:cs="等线"/>
                <w:b/>
                <w:color w:val="000000"/>
                <w:sz w:val="20"/>
                <w:szCs w:val="20"/>
              </w:rPr>
            </w:pPr>
            <w:r>
              <w:rPr>
                <w:rFonts w:hint="eastAsia" w:ascii="等线" w:hAnsi="等线" w:eastAsia="等线" w:cs="等线"/>
                <w:b/>
                <w:color w:val="000000"/>
                <w:kern w:val="0"/>
                <w:sz w:val="20"/>
                <w:szCs w:val="20"/>
              </w:rPr>
              <w:t>序号</w:t>
            </w:r>
          </w:p>
        </w:tc>
        <w:tc>
          <w:tcPr>
            <w:tcW w:w="6744" w:type="dxa"/>
            <w:tcBorders>
              <w:top w:val="single" w:color="000000" w:sz="4" w:space="0"/>
              <w:left w:val="single" w:color="000000" w:sz="4" w:space="0"/>
              <w:bottom w:val="single" w:color="000000" w:sz="4" w:space="0"/>
              <w:right w:val="single" w:color="000000" w:sz="4" w:space="0"/>
            </w:tcBorders>
            <w:shd w:val="clear" w:color="auto" w:fill="BDD7EE"/>
            <w:tcMar>
              <w:top w:w="15" w:type="dxa"/>
              <w:left w:w="15" w:type="dxa"/>
              <w:right w:w="15" w:type="dxa"/>
            </w:tcMar>
            <w:vAlign w:val="center"/>
          </w:tcPr>
          <w:p>
            <w:pPr>
              <w:widowControl/>
              <w:jc w:val="center"/>
              <w:textAlignment w:val="center"/>
            </w:pPr>
            <w:r>
              <w:rPr>
                <w:rFonts w:hint="eastAsia" w:ascii="等线" w:hAnsi="等线" w:eastAsia="等线" w:cs="等线"/>
                <w:b/>
                <w:color w:val="000000"/>
                <w:kern w:val="0"/>
                <w:sz w:val="20"/>
                <w:szCs w:val="20"/>
              </w:rPr>
              <w:t>招聘专业</w:t>
            </w:r>
          </w:p>
        </w:tc>
        <w:tc>
          <w:tcPr>
            <w:tcW w:w="2717" w:type="dxa"/>
            <w:tcBorders>
              <w:top w:val="single" w:color="000000" w:sz="4" w:space="0"/>
              <w:left w:val="single" w:color="000000" w:sz="4" w:space="0"/>
              <w:bottom w:val="single" w:color="000000" w:sz="4" w:space="0"/>
              <w:right w:val="single" w:color="000000" w:sz="4" w:space="0"/>
            </w:tcBorders>
            <w:shd w:val="clear" w:color="auto" w:fill="BDD7EE"/>
            <w:tcMar>
              <w:top w:w="15" w:type="dxa"/>
              <w:left w:w="15" w:type="dxa"/>
              <w:right w:w="15" w:type="dxa"/>
            </w:tcMar>
            <w:vAlign w:val="center"/>
          </w:tcPr>
          <w:p>
            <w:pPr>
              <w:widowControl/>
              <w:jc w:val="center"/>
              <w:textAlignment w:val="center"/>
              <w:rPr>
                <w:rFonts w:ascii="等线" w:hAnsi="等线" w:eastAsia="等线" w:cs="等线"/>
                <w:b/>
                <w:color w:val="000000"/>
                <w:sz w:val="20"/>
                <w:szCs w:val="20"/>
              </w:rPr>
            </w:pPr>
            <w:r>
              <w:rPr>
                <w:rFonts w:hint="eastAsia" w:ascii="等线" w:hAnsi="等线" w:eastAsia="等线" w:cs="等线"/>
                <w:b/>
                <w:color w:val="000000"/>
                <w:kern w:val="0"/>
                <w:sz w:val="20"/>
                <w:szCs w:val="20"/>
              </w:rPr>
              <w:t>学历要求</w:t>
            </w:r>
          </w:p>
        </w:tc>
      </w:tr>
      <w:tr>
        <w:tblPrEx>
          <w:tblCellMar>
            <w:top w:w="0" w:type="dxa"/>
            <w:left w:w="0" w:type="dxa"/>
            <w:bottom w:w="0" w:type="dxa"/>
            <w:right w:w="0" w:type="dxa"/>
          </w:tblCellMar>
        </w:tblPrEx>
        <w:trPr>
          <w:trHeight w:val="653"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1</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b/>
              </w:rPr>
            </w:pPr>
            <w:r>
              <w:rPr>
                <w:rFonts w:hint="eastAsia" w:ascii="等线" w:hAnsi="等线" w:eastAsia="等线" w:cs="等线"/>
                <w:b/>
                <w:color w:val="000000"/>
                <w:kern w:val="0"/>
                <w:sz w:val="20"/>
                <w:szCs w:val="20"/>
              </w:rPr>
              <w:t>油气田开发工程</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硕士研究生及以上</w:t>
            </w:r>
          </w:p>
        </w:tc>
      </w:tr>
      <w:tr>
        <w:tblPrEx>
          <w:tblCellMar>
            <w:top w:w="0" w:type="dxa"/>
            <w:left w:w="0" w:type="dxa"/>
            <w:bottom w:w="0" w:type="dxa"/>
            <w:right w:w="0" w:type="dxa"/>
          </w:tblCellMar>
        </w:tblPrEx>
        <w:trPr>
          <w:trHeight w:val="67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2</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等线" w:hAnsi="等线" w:eastAsia="等线" w:cs="等线"/>
                <w:b/>
                <w:color w:val="000000"/>
                <w:kern w:val="0"/>
                <w:sz w:val="20"/>
                <w:szCs w:val="20"/>
              </w:rPr>
              <w:t>石油工程</w:t>
            </w:r>
            <w:r>
              <w:rPr>
                <w:rFonts w:hint="eastAsia" w:ascii="等线" w:hAnsi="等线" w:eastAsia="等线" w:cs="等线"/>
                <w:color w:val="000000"/>
                <w:kern w:val="0"/>
                <w:sz w:val="20"/>
                <w:szCs w:val="20"/>
              </w:rPr>
              <w:t>、海洋油气工程、油气井工程、石油与天然气工程</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大学本科及以上</w:t>
            </w:r>
          </w:p>
        </w:tc>
      </w:tr>
      <w:tr>
        <w:tblPrEx>
          <w:tblCellMar>
            <w:top w:w="0" w:type="dxa"/>
            <w:left w:w="0" w:type="dxa"/>
            <w:bottom w:w="0" w:type="dxa"/>
            <w:right w:w="0" w:type="dxa"/>
          </w:tblCellMar>
        </w:tblPrEx>
        <w:trPr>
          <w:trHeight w:val="71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3</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等线" w:hAnsi="等线" w:eastAsia="等线" w:cs="等线"/>
                <w:b/>
                <w:color w:val="000000"/>
                <w:kern w:val="0"/>
                <w:sz w:val="20"/>
                <w:szCs w:val="20"/>
              </w:rPr>
              <w:t>资源勘查工程</w:t>
            </w:r>
            <w:r>
              <w:rPr>
                <w:rFonts w:hint="eastAsia" w:ascii="等线" w:hAnsi="等线" w:eastAsia="等线" w:cs="等线"/>
                <w:color w:val="000000"/>
                <w:kern w:val="0"/>
                <w:sz w:val="20"/>
                <w:szCs w:val="20"/>
              </w:rPr>
              <w:t>、地质学、地球化学、地质工程、地质资源与地质工程</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大学本科及以上</w:t>
            </w:r>
          </w:p>
        </w:tc>
      </w:tr>
      <w:tr>
        <w:tblPrEx>
          <w:tblCellMar>
            <w:top w:w="0" w:type="dxa"/>
            <w:left w:w="0" w:type="dxa"/>
            <w:bottom w:w="0" w:type="dxa"/>
            <w:right w:w="0" w:type="dxa"/>
          </w:tblCellMar>
        </w:tblPrEx>
        <w:trPr>
          <w:trHeight w:val="668"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4</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b/>
              </w:rPr>
            </w:pPr>
            <w:r>
              <w:rPr>
                <w:rFonts w:hint="eastAsia" w:ascii="等线" w:hAnsi="等线" w:eastAsia="等线" w:cs="等线"/>
                <w:b/>
                <w:color w:val="000000"/>
                <w:kern w:val="0"/>
                <w:sz w:val="20"/>
                <w:szCs w:val="20"/>
              </w:rPr>
              <w:t>应用化学</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大学本科及以上</w:t>
            </w:r>
          </w:p>
        </w:tc>
      </w:tr>
      <w:tr>
        <w:tblPrEx>
          <w:tblCellMar>
            <w:top w:w="0" w:type="dxa"/>
            <w:left w:w="0" w:type="dxa"/>
            <w:bottom w:w="0" w:type="dxa"/>
            <w:right w:w="0" w:type="dxa"/>
          </w:tblCellMar>
        </w:tblPrEx>
        <w:trPr>
          <w:trHeight w:val="69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5</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等线" w:hAnsi="等线" w:eastAsia="等线" w:cs="等线"/>
                <w:b/>
                <w:color w:val="000000"/>
                <w:kern w:val="0"/>
                <w:sz w:val="20"/>
                <w:szCs w:val="20"/>
              </w:rPr>
              <w:t>电气工程及其自动化</w:t>
            </w:r>
            <w:r>
              <w:rPr>
                <w:rFonts w:hint="eastAsia" w:ascii="等线" w:hAnsi="等线" w:eastAsia="等线" w:cs="等线"/>
                <w:color w:val="000000"/>
                <w:kern w:val="0"/>
                <w:sz w:val="20"/>
                <w:szCs w:val="20"/>
              </w:rPr>
              <w:t>、电工理论与新技术、自动化、控制工程</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大学本科及以上</w:t>
            </w:r>
          </w:p>
        </w:tc>
      </w:tr>
      <w:tr>
        <w:tblPrEx>
          <w:tblCellMar>
            <w:top w:w="0" w:type="dxa"/>
            <w:left w:w="0" w:type="dxa"/>
            <w:bottom w:w="0" w:type="dxa"/>
            <w:right w:w="0" w:type="dxa"/>
          </w:tblCellMar>
        </w:tblPrEx>
        <w:trPr>
          <w:trHeight w:val="958"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6</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等线" w:hAnsi="等线" w:eastAsia="等线" w:cs="等线"/>
                <w:b/>
                <w:color w:val="000000"/>
                <w:kern w:val="0"/>
                <w:sz w:val="20"/>
                <w:szCs w:val="20"/>
              </w:rPr>
              <w:t>机械设计制造及其自动化</w:t>
            </w:r>
            <w:r>
              <w:rPr>
                <w:rFonts w:hint="eastAsia" w:ascii="等线" w:hAnsi="等线" w:eastAsia="等线" w:cs="等线"/>
                <w:color w:val="000000"/>
                <w:kern w:val="0"/>
                <w:sz w:val="20"/>
                <w:szCs w:val="20"/>
              </w:rPr>
              <w:t>、过程装备与控制工程、机械电子工程、机械工程、机械设计及理论</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大学本科及以上</w:t>
            </w:r>
          </w:p>
        </w:tc>
      </w:tr>
      <w:tr>
        <w:tblPrEx>
          <w:tblCellMar>
            <w:top w:w="0" w:type="dxa"/>
            <w:left w:w="0" w:type="dxa"/>
            <w:bottom w:w="0" w:type="dxa"/>
            <w:right w:w="0" w:type="dxa"/>
          </w:tblCellMar>
        </w:tblPrEx>
        <w:trPr>
          <w:trHeight w:val="688"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7</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ascii="等线" w:hAnsi="等线" w:eastAsia="等线" w:cs="等线"/>
                <w:b/>
                <w:color w:val="000000"/>
                <w:kern w:val="0"/>
                <w:sz w:val="20"/>
                <w:szCs w:val="20"/>
              </w:rPr>
              <w:t>勘查技术与工程</w:t>
            </w:r>
            <w:r>
              <w:rPr>
                <w:rFonts w:hint="eastAsia" w:ascii="等线" w:hAnsi="等线" w:eastAsia="等线" w:cs="等线"/>
                <w:color w:val="000000"/>
                <w:kern w:val="0"/>
                <w:sz w:val="20"/>
                <w:szCs w:val="20"/>
              </w:rPr>
              <w:t>、地球探测与信息技术</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rPr>
              <w:t>大学本科及以上</w:t>
            </w:r>
          </w:p>
        </w:tc>
      </w:tr>
      <w:tr>
        <w:tblPrEx>
          <w:tblCellMar>
            <w:top w:w="0" w:type="dxa"/>
            <w:left w:w="0" w:type="dxa"/>
            <w:bottom w:w="0" w:type="dxa"/>
            <w:right w:w="0" w:type="dxa"/>
          </w:tblCellMar>
        </w:tblPrEx>
        <w:trPr>
          <w:trHeight w:val="68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8</w:t>
            </w:r>
          </w:p>
        </w:tc>
        <w:tc>
          <w:tcPr>
            <w:tcW w:w="6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0"/>
                <w:szCs w:val="20"/>
              </w:rPr>
            </w:pPr>
            <w:r>
              <w:rPr>
                <w:rFonts w:hint="eastAsia" w:ascii="等线" w:hAnsi="等线" w:eastAsia="等线" w:cs="等线"/>
                <w:b/>
                <w:color w:val="000000"/>
                <w:kern w:val="0"/>
                <w:sz w:val="20"/>
                <w:szCs w:val="20"/>
              </w:rPr>
              <w:t>法律</w:t>
            </w:r>
            <w:r>
              <w:rPr>
                <w:rFonts w:hint="eastAsia" w:ascii="等线" w:hAnsi="等线" w:eastAsia="等线" w:cs="等线"/>
                <w:color w:val="000000"/>
                <w:kern w:val="0"/>
                <w:sz w:val="20"/>
                <w:szCs w:val="20"/>
              </w:rPr>
              <w:t>、法学、国际经济与贸易</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大学本科及以上</w:t>
            </w:r>
          </w:p>
        </w:tc>
      </w:tr>
    </w:tbl>
    <w:p>
      <w:pPr>
        <w:rPr>
          <w:b/>
          <w:bCs/>
          <w:sz w:val="32"/>
          <w:szCs w:val="32"/>
        </w:rPr>
      </w:pPr>
      <w:r>
        <w:rPr>
          <w:rFonts w:hint="eastAsia" w:ascii="微软雅黑" w:hAnsi="微软雅黑" w:eastAsia="微软雅黑" w:cs="微软雅黑"/>
          <w:b/>
          <w:bCs/>
          <w:sz w:val="32"/>
          <w:szCs w:val="32"/>
        </w:rPr>
        <w:t>◆</w:t>
      </w:r>
      <w:r>
        <w:rPr>
          <w:rFonts w:hint="eastAsia"/>
          <w:b/>
          <w:bCs/>
          <w:sz w:val="32"/>
          <w:szCs w:val="32"/>
        </w:rPr>
        <w:t>资格要求</w:t>
      </w:r>
    </w:p>
    <w:p>
      <w:r>
        <w:rPr>
          <w:rFonts w:hint="eastAsia"/>
        </w:rPr>
        <w:t>1. 2021届以及2020届未落实工作单位，户口、档案、组织关系仍保留在原毕业院校的普通高等院校毕业生。所学专业在公司招聘专业范围内。石油主体专业优先在具有专业办学优势的特色院校招聘。</w:t>
      </w:r>
    </w:p>
    <w:p>
      <w:r>
        <w:rPr>
          <w:rFonts w:hint="eastAsia"/>
        </w:rPr>
        <w:t>2. 具有较高的外语水平，研究生须通过国家英语六级水平考试（425分及以上）。本科毕业生须通过国家英语四级水平考试（在同等条件下，英语通过六级的优先录用）。第一外语为其他语种的，其外语水平应达到相应标准。</w:t>
      </w:r>
    </w:p>
    <w:p>
      <w:r>
        <w:rPr>
          <w:rFonts w:hint="eastAsia"/>
        </w:rPr>
        <w:t>3. 毕业时能够取得相应的毕业证、学位证和就业报到证。</w:t>
      </w:r>
    </w:p>
    <w:p>
      <w:r>
        <w:rPr>
          <w:rFonts w:hint="eastAsia"/>
        </w:rPr>
        <w:t>4. 取得教育部留学服务中心颁发的硕士（含）以上学位认证；须参加集团公司统一组织的外语水平考试，取得相应成绩。</w:t>
      </w:r>
    </w:p>
    <w:p/>
    <w:p>
      <w:pPr>
        <w:rPr>
          <w:b/>
          <w:bCs/>
          <w:sz w:val="32"/>
          <w:szCs w:val="32"/>
        </w:rPr>
      </w:pPr>
      <w:r>
        <w:rPr>
          <w:rFonts w:hint="eastAsia" w:ascii="微软雅黑" w:hAnsi="微软雅黑" w:eastAsia="微软雅黑" w:cs="微软雅黑"/>
          <w:b/>
          <w:bCs/>
          <w:sz w:val="32"/>
          <w:szCs w:val="32"/>
        </w:rPr>
        <w:t>◆</w:t>
      </w:r>
      <w:r>
        <w:rPr>
          <w:rFonts w:hint="eastAsia"/>
          <w:b/>
          <w:bCs/>
          <w:sz w:val="32"/>
          <w:szCs w:val="32"/>
        </w:rPr>
        <w:t>薪酬福利</w:t>
      </w:r>
    </w:p>
    <w:p>
      <w:r>
        <w:rPr>
          <w:rFonts w:hint="eastAsia"/>
        </w:rPr>
        <w:t>1. 入职后依法签订劳动合同；</w:t>
      </w:r>
    </w:p>
    <w:p>
      <w:r>
        <w:rPr>
          <w:rFonts w:hint="eastAsia"/>
        </w:rPr>
        <w:t>2. 执行中国石油统一工资制度；</w:t>
      </w:r>
    </w:p>
    <w:p>
      <w:r>
        <w:rPr>
          <w:rFonts w:hint="eastAsia"/>
        </w:rPr>
        <w:t>3. 享受五险二金（基本养老保险、基本医疗保险、失业保险、工伤保险、生育保险、住房公积金、企业年金）及其他国家规定的法定福利，同时还为员工提供例行健康检查；</w:t>
      </w:r>
    </w:p>
    <w:p>
      <w:r>
        <w:rPr>
          <w:rFonts w:hint="eastAsia"/>
        </w:rPr>
        <w:t>4. 执行国家和中国石油集团统一的休假政策，员工可享受带薪年休假以及各种法定假日。</w:t>
      </w:r>
    </w:p>
    <w:p/>
    <w:p>
      <w:pPr>
        <w:rPr>
          <w:b/>
          <w:bCs/>
          <w:sz w:val="32"/>
          <w:szCs w:val="32"/>
        </w:rPr>
      </w:pPr>
      <w:r>
        <w:rPr>
          <w:rFonts w:hint="eastAsia" w:ascii="微软雅黑" w:hAnsi="微软雅黑" w:eastAsia="微软雅黑" w:cs="微软雅黑"/>
          <w:b/>
          <w:bCs/>
          <w:sz w:val="32"/>
          <w:szCs w:val="32"/>
        </w:rPr>
        <w:t>◆</w:t>
      </w:r>
      <w:r>
        <w:rPr>
          <w:rFonts w:hint="eastAsia"/>
          <w:b/>
          <w:bCs/>
          <w:sz w:val="32"/>
          <w:szCs w:val="32"/>
        </w:rPr>
        <w:t>招聘流程</w:t>
      </w:r>
    </w:p>
    <w:p>
      <w:r>
        <w:rPr>
          <w:rFonts w:hint="eastAsia"/>
          <w:b/>
        </w:rPr>
        <w:t>1. 网上报名。</w:t>
      </w:r>
      <w:r>
        <w:rPr>
          <w:rFonts w:hint="eastAsia"/>
        </w:rPr>
        <w:t>应聘毕业生登陆集团公司高校毕业生招聘平台注册，在线填写简历，申请应聘岗位，报名截止时间为2021年4月23日。</w:t>
      </w:r>
    </w:p>
    <w:p>
      <w:pPr>
        <w:rPr>
          <w:b/>
        </w:rPr>
      </w:pPr>
      <w:r>
        <w:rPr>
          <w:rFonts w:hint="eastAsia"/>
          <w:b/>
        </w:rPr>
        <w:t>2. 准入考试。</w:t>
      </w:r>
      <w:r>
        <w:rPr>
          <w:rFonts w:hint="eastAsia"/>
        </w:rPr>
        <w:t>参加集团公司统一组织的高校毕业生准入考试。凡投递简历信息完整真实准确、符合岗位报名资格要求的高校毕业生，均可获得准入考试资格。</w:t>
      </w:r>
    </w:p>
    <w:p>
      <w:r>
        <w:rPr>
          <w:rFonts w:hint="eastAsia"/>
          <w:b/>
        </w:rPr>
        <w:t>3. 面试考核和专业测试。</w:t>
      </w:r>
      <w:r>
        <w:rPr>
          <w:rFonts w:hint="eastAsia"/>
        </w:rPr>
        <w:t>根据集团公司考试中心提供的入围人选，组织进行面试考核和专业测试。</w:t>
      </w:r>
    </w:p>
    <w:p>
      <w:pPr>
        <w:rPr>
          <w:b/>
        </w:rPr>
      </w:pPr>
      <w:r>
        <w:rPr>
          <w:rFonts w:hint="eastAsia"/>
          <w:b/>
        </w:rPr>
        <w:t>4. 协议签订。</w:t>
      </w:r>
      <w:r>
        <w:rPr>
          <w:rFonts w:hint="eastAsia"/>
        </w:rPr>
        <w:t>公示录用名单在平台公开发布前，与拟录用高校毕业生签订就业协议书和信息真实性承诺书。</w:t>
      </w:r>
    </w:p>
    <w:p>
      <w:r>
        <w:rPr>
          <w:rFonts w:hint="eastAsia"/>
          <w:b/>
        </w:rPr>
        <w:t>5. 公示录用及递补名单。</w:t>
      </w:r>
      <w:r>
        <w:rPr>
          <w:rFonts w:hint="eastAsia"/>
        </w:rPr>
        <w:t>根据专业测试和面试考核结果，确定录用及递补人员名单。拟录用人员和递补人员同步公示，公示期为5天。</w:t>
      </w:r>
    </w:p>
    <w:p>
      <w:r>
        <w:rPr>
          <w:rFonts w:hint="eastAsia"/>
          <w:b/>
        </w:rPr>
        <w:t>6. 入职注册。</w:t>
      </w:r>
      <w:r>
        <w:rPr>
          <w:rFonts w:hint="eastAsia"/>
        </w:rPr>
        <w:t>2021年8月31日前，完成2021届高校毕业生报到和入职注册工作。</w:t>
      </w:r>
    </w:p>
    <w:p>
      <w:pPr>
        <w:rPr>
          <w:rFonts w:ascii="微软雅黑" w:hAnsi="微软雅黑" w:eastAsia="微软雅黑" w:cs="微软雅黑"/>
          <w:b/>
          <w:bCs/>
          <w:sz w:val="32"/>
          <w:szCs w:val="32"/>
        </w:rPr>
      </w:pPr>
    </w:p>
    <w:p>
      <w:pPr>
        <w:rPr>
          <w:b/>
          <w:bCs/>
          <w:sz w:val="32"/>
          <w:szCs w:val="32"/>
        </w:rPr>
      </w:pPr>
      <w:r>
        <w:rPr>
          <w:rFonts w:hint="eastAsia" w:ascii="微软雅黑" w:hAnsi="微软雅黑" w:eastAsia="微软雅黑" w:cs="微软雅黑"/>
          <w:b/>
          <w:bCs/>
          <w:sz w:val="32"/>
          <w:szCs w:val="32"/>
        </w:rPr>
        <w:t>◆</w:t>
      </w:r>
      <w:r>
        <w:rPr>
          <w:rFonts w:hint="eastAsia"/>
          <w:b/>
          <w:bCs/>
          <w:sz w:val="32"/>
          <w:szCs w:val="32"/>
        </w:rPr>
        <w:t>联系我们</w:t>
      </w:r>
    </w:p>
    <w:p>
      <w:r>
        <w:rPr>
          <w:rFonts w:hint="eastAsia"/>
        </w:rPr>
        <w:t>公司地址：北京市朝阳区安立路101号名人大厦</w:t>
      </w:r>
    </w:p>
    <w:p/>
    <w:p>
      <w:r>
        <w:rPr>
          <w:rFonts w:hint="eastAsia"/>
        </w:rPr>
        <w:t>招聘电话：010-59286252，010-59285282</w:t>
      </w:r>
    </w:p>
    <w:p/>
    <w:p>
      <w:r>
        <w:rPr>
          <w:rFonts w:hint="eastAsia"/>
        </w:rPr>
        <w:t>招聘邮箱：zhaopin.gwdc@cnpc.com.cn</w:t>
      </w:r>
    </w:p>
    <w:p/>
    <w:p>
      <w:r>
        <w:rPr>
          <w:rFonts w:hint="eastAsia"/>
        </w:rPr>
        <w:t>公司官网：http://gwdc.cnpc.com.cn</w:t>
      </w:r>
    </w:p>
    <w:p/>
    <w:p>
      <w:r>
        <w:rPr>
          <w:rFonts w:hint="eastAsia"/>
        </w:rPr>
        <w:t>集团公司高校毕业生招聘平台：</w:t>
      </w:r>
      <w:r>
        <w:t>https://zhaopin.cnpc.com.cn</w:t>
      </w:r>
    </w:p>
    <w:p>
      <w:r>
        <w:drawing>
          <wp:anchor distT="0" distB="0" distL="114300" distR="114300" simplePos="0" relativeHeight="251659264" behindDoc="0" locked="0" layoutInCell="1" allowOverlap="1">
            <wp:simplePos x="0" y="0"/>
            <wp:positionH relativeFrom="column">
              <wp:posOffset>2876550</wp:posOffset>
            </wp:positionH>
            <wp:positionV relativeFrom="paragraph">
              <wp:posOffset>60960</wp:posOffset>
            </wp:positionV>
            <wp:extent cx="1381125" cy="1381125"/>
            <wp:effectExtent l="19050" t="0" r="9525" b="0"/>
            <wp:wrapNone/>
            <wp:docPr id="1" name="图片 1" descr="C:\Users\admin\Documents\WXWorkLocal\1688849879092988_1970325129025079\Cache\Image\2021-04\mmexport1617937156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cuments\WXWorkLocal\1688849879092988_1970325129025079\Cache\Image\2021-04\mmexport1617937156923.jpg"/>
                    <pic:cNvPicPr>
                      <a:picLocks noChangeAspect="1" noChangeArrowheads="1"/>
                    </pic:cNvPicPr>
                  </pic:nvPicPr>
                  <pic:blipFill>
                    <a:blip r:embed="rId4" cstate="print"/>
                    <a:srcRect/>
                    <a:stretch>
                      <a:fillRect/>
                    </a:stretch>
                  </pic:blipFill>
                  <pic:spPr>
                    <a:xfrm>
                      <a:off x="0" y="0"/>
                      <a:ext cx="1381125" cy="1381125"/>
                    </a:xfrm>
                    <a:prstGeom prst="rect">
                      <a:avLst/>
                    </a:prstGeom>
                    <a:noFill/>
                    <a:ln w="9525">
                      <a:noFill/>
                      <a:miter lim="800000"/>
                      <a:headEnd/>
                      <a:tailEnd/>
                    </a:ln>
                  </pic:spPr>
                </pic:pic>
              </a:graphicData>
            </a:graphic>
          </wp:anchor>
        </w:drawing>
      </w:r>
    </w:p>
    <w:p>
      <w:r>
        <w:rPr>
          <w:rFonts w:hint="eastAsia"/>
        </w:rPr>
        <w:t>了解长城钻探公司招聘信息还可扫二维码：</w:t>
      </w:r>
    </w:p>
    <w:bookmarkEnd w:id="0"/>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0AC3E01"/>
    <w:rsid w:val="000307E3"/>
    <w:rsid w:val="0010070E"/>
    <w:rsid w:val="00110CAB"/>
    <w:rsid w:val="001D7487"/>
    <w:rsid w:val="002A322C"/>
    <w:rsid w:val="002A7D54"/>
    <w:rsid w:val="00414049"/>
    <w:rsid w:val="004871CB"/>
    <w:rsid w:val="00512C3D"/>
    <w:rsid w:val="005215DC"/>
    <w:rsid w:val="005C0F35"/>
    <w:rsid w:val="005F5C36"/>
    <w:rsid w:val="006612AF"/>
    <w:rsid w:val="00752197"/>
    <w:rsid w:val="007646C0"/>
    <w:rsid w:val="00777073"/>
    <w:rsid w:val="008F4E91"/>
    <w:rsid w:val="009E4270"/>
    <w:rsid w:val="00A841F1"/>
    <w:rsid w:val="00AD5AFD"/>
    <w:rsid w:val="00B35423"/>
    <w:rsid w:val="00BE69F1"/>
    <w:rsid w:val="00C024C1"/>
    <w:rsid w:val="00C41A76"/>
    <w:rsid w:val="00CB12A7"/>
    <w:rsid w:val="00D174C2"/>
    <w:rsid w:val="00D91260"/>
    <w:rsid w:val="00DA376F"/>
    <w:rsid w:val="00E1405B"/>
    <w:rsid w:val="00EA210A"/>
    <w:rsid w:val="00F44718"/>
    <w:rsid w:val="00F87F59"/>
    <w:rsid w:val="00FF340D"/>
    <w:rsid w:val="0BF560A8"/>
    <w:rsid w:val="1D1B20B0"/>
    <w:rsid w:val="221A2CC1"/>
    <w:rsid w:val="23A04365"/>
    <w:rsid w:val="24954841"/>
    <w:rsid w:val="28FA068E"/>
    <w:rsid w:val="30AC3E01"/>
    <w:rsid w:val="33A17C98"/>
    <w:rsid w:val="33F561E0"/>
    <w:rsid w:val="360D582B"/>
    <w:rsid w:val="36BD711F"/>
    <w:rsid w:val="3C8100CC"/>
    <w:rsid w:val="3D9E1500"/>
    <w:rsid w:val="46A74F1F"/>
    <w:rsid w:val="4BFD117C"/>
    <w:rsid w:val="5388773F"/>
    <w:rsid w:val="53B91247"/>
    <w:rsid w:val="560B38DF"/>
    <w:rsid w:val="59F03033"/>
    <w:rsid w:val="5AE40E9B"/>
    <w:rsid w:val="5DD40707"/>
    <w:rsid w:val="61B43A1E"/>
    <w:rsid w:val="69206A7A"/>
    <w:rsid w:val="763C5B0F"/>
    <w:rsid w:val="7A450E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328</Words>
  <Characters>1875</Characters>
  <Lines>15</Lines>
  <Paragraphs>4</Paragraphs>
  <TotalTime>76</TotalTime>
  <ScaleCrop>false</ScaleCrop>
  <LinksUpToDate>false</LinksUpToDate>
  <CharactersWithSpaces>2199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2019-09-04T02:34:00Z</dcterms:created>
  <dc:creator>Sgh</dc:creator>
  <cp:lastModifiedBy>Administrator</cp:lastModifiedBy>
  <cp:lastPrinted>2020-09-14T08:01:00Z</cp:lastPrinted>
  <dcterms:modified xsi:type="dcterms:W3CDTF">2021-04-10T10:35:14Z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0C3816C17EC1498DA932DA7793467D4D</vt:lpwstr>
  </property>
</Properties>
</file>