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4DD77">
      <w:pPr>
        <w:pageBreakBefore w:val="0"/>
        <w:kinsoku/>
        <w:wordWrap/>
        <w:overflowPunct/>
        <w:topLinePunct w:val="0"/>
        <w:autoSpaceDE/>
        <w:autoSpaceDN/>
        <w:bidi w:val="0"/>
        <w:adjustRightInd/>
        <w:spacing w:line="580" w:lineRule="atLeast"/>
        <w:jc w:val="center"/>
        <w:rPr>
          <w:rFonts w:hint="default" w:ascii="方正小标宋简体" w:eastAsia="方正小标宋简体"/>
          <w:color w:val="auto"/>
          <w:sz w:val="44"/>
          <w:szCs w:val="44"/>
          <w:highlight w:val="none"/>
          <w:lang w:eastAsia="zh-CN"/>
          <w:woUserID w:val="3"/>
        </w:rPr>
      </w:pPr>
      <w:r>
        <w:rPr>
          <w:rFonts w:hint="eastAsia" w:ascii="方正小标宋简体" w:eastAsia="方正小标宋简体"/>
          <w:color w:val="auto"/>
          <w:sz w:val="44"/>
          <w:szCs w:val="44"/>
          <w:highlight w:val="none"/>
          <w:lang w:val="en-US" w:eastAsia="zh-CN"/>
        </w:rPr>
        <w:t>宝丰集团2026年春季校园招聘</w:t>
      </w:r>
      <w:r>
        <w:rPr>
          <w:rFonts w:hint="default" w:ascii="方正小标宋简体" w:eastAsia="方正小标宋简体"/>
          <w:color w:val="auto"/>
          <w:sz w:val="44"/>
          <w:szCs w:val="44"/>
          <w:highlight w:val="none"/>
          <w:lang w:eastAsia="zh-CN"/>
          <w:woUserID w:val="3"/>
        </w:rPr>
        <w:t>简章</w:t>
      </w:r>
    </w:p>
    <w:p w14:paraId="5B7E6AAE">
      <w:pPr>
        <w:pStyle w:val="4"/>
        <w:pageBreakBefore w:val="0"/>
        <w:kinsoku/>
        <w:wordWrap/>
        <w:overflowPunct/>
        <w:topLinePunct w:val="0"/>
        <w:autoSpaceDE/>
        <w:autoSpaceDN/>
        <w:bidi w:val="0"/>
        <w:adjustRightInd/>
        <w:spacing w:line="580" w:lineRule="atLeast"/>
        <w:jc w:val="both"/>
        <w:textAlignment w:val="auto"/>
        <w:rPr>
          <w:rFonts w:hint="eastAsia" w:ascii="仿宋_GB2312" w:hAnsi="仿宋_GB2312" w:eastAsia="仿宋_GB2312" w:cs="仿宋_GB2312"/>
          <w:i w:val="0"/>
          <w:iCs w:val="0"/>
          <w:caps w:val="0"/>
          <w:color w:val="000000"/>
          <w:spacing w:val="0"/>
          <w:kern w:val="0"/>
          <w:sz w:val="32"/>
          <w:szCs w:val="32"/>
          <w:u w:val="none"/>
          <w:lang w:val="en-US" w:eastAsia="zh-CN" w:bidi="ar"/>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一、公司简介</w:t>
      </w:r>
    </w:p>
    <w:p w14:paraId="49CC100A">
      <w:pPr>
        <w:pStyle w:val="6"/>
        <w:keepNext w:val="0"/>
        <w:keepLines w:val="0"/>
        <w:pageBreakBefore w:val="0"/>
        <w:widowControl/>
        <w:suppressLineNumbers w:val="0"/>
        <w:kinsoku/>
        <w:wordWrap/>
        <w:overflowPunct/>
        <w:topLinePunct w:val="0"/>
        <w:autoSpaceDE/>
        <w:autoSpaceDN/>
        <w:bidi w:val="0"/>
        <w:adjustRightInd/>
        <w:snapToGrid/>
        <w:spacing w:beforeAutospacing="1" w:line="580" w:lineRule="atLeast"/>
        <w:ind w:firstLine="640" w:firstLineChars="200"/>
        <w:jc w:val="both"/>
        <w:textAlignment w:val="auto"/>
        <w:rPr>
          <w:rFonts w:hint="default" w:ascii="FangSong_GB2312" w:hAnsi="FangSong_GB2312" w:eastAsia="FangSong_GB2312" w:cs="FangSong_GB2312"/>
          <w:b w:val="0"/>
          <w:bCs/>
          <w:kern w:val="2"/>
          <w:sz w:val="32"/>
          <w:szCs w:val="32"/>
          <w:highlight w:val="none"/>
          <w:lang w:val="en-US" w:eastAsia="zh-CN" w:bidi="ar-SA"/>
          <w:woUserID w:val="1"/>
        </w:rPr>
      </w:pPr>
      <w:r>
        <w:rPr>
          <w:rFonts w:hint="default" w:ascii="FangSong_GB2312" w:hAnsi="FangSong_GB2312" w:eastAsia="FangSong_GB2312" w:cs="FangSong_GB2312"/>
          <w:b w:val="0"/>
          <w:bCs/>
          <w:kern w:val="2"/>
          <w:sz w:val="32"/>
          <w:szCs w:val="32"/>
          <w:highlight w:val="none"/>
          <w:lang w:val="en-US" w:eastAsia="zh-CN" w:bidi="ar-SA"/>
          <w:woUserID w:val="1"/>
        </w:rPr>
        <w:t>宝丰集团始终感党恩、听党话、跟党走，以“做对社会有贡献的实业”为使命，投身党和国家最需要的产业，坚持用科技创新发展新质生产力，已</w:t>
      </w:r>
      <w:r>
        <w:rPr>
          <w:rFonts w:hint="eastAsia" w:ascii="FangSong_GB2312" w:hAnsi="FangSong_GB2312" w:eastAsia="FangSong_GB2312" w:cs="FangSong_GB2312"/>
          <w:b w:val="0"/>
          <w:bCs/>
          <w:kern w:val="2"/>
          <w:sz w:val="32"/>
          <w:szCs w:val="32"/>
          <w:highlight w:val="none"/>
          <w:lang w:val="en-US" w:eastAsia="zh-CN" w:bidi="ar-SA"/>
          <w:woUserID w:val="1"/>
        </w:rPr>
        <w:t>成为</w:t>
      </w:r>
      <w:r>
        <w:rPr>
          <w:rFonts w:hint="default" w:ascii="FangSong_GB2312" w:hAnsi="FangSong_GB2312" w:eastAsia="FangSong_GB2312" w:cs="FangSong_GB2312"/>
          <w:b w:val="0"/>
          <w:bCs/>
          <w:kern w:val="2"/>
          <w:sz w:val="32"/>
          <w:szCs w:val="32"/>
          <w:highlight w:val="none"/>
          <w:lang w:val="en-US" w:eastAsia="zh-CN" w:bidi="ar-SA"/>
          <w:woUserID w:val="1"/>
        </w:rPr>
        <w:t xml:space="preserve">能源化工、储能制造、新能源制造为主的现代化绿色科技集团。公司总资产达2000亿元，年营收超1000亿元，年纳税超100亿元，员工5万人，稳居中国民营企业500强前列，积极为国家和地方经济社会高质量发展贡献力量。 </w:t>
      </w:r>
    </w:p>
    <w:p w14:paraId="55593E01">
      <w:pPr>
        <w:pStyle w:val="6"/>
        <w:keepNext w:val="0"/>
        <w:keepLines w:val="0"/>
        <w:pageBreakBefore w:val="0"/>
        <w:widowControl/>
        <w:suppressLineNumbers w:val="0"/>
        <w:kinsoku/>
        <w:wordWrap/>
        <w:overflowPunct/>
        <w:topLinePunct w:val="0"/>
        <w:autoSpaceDE/>
        <w:autoSpaceDN/>
        <w:bidi w:val="0"/>
        <w:adjustRightInd/>
        <w:snapToGrid/>
        <w:spacing w:beforeAutospacing="1" w:line="580" w:lineRule="atLeast"/>
        <w:ind w:firstLine="640" w:firstLineChars="200"/>
        <w:jc w:val="both"/>
        <w:textAlignment w:val="auto"/>
        <w:rPr>
          <w:rFonts w:hint="default" w:ascii="FangSong_GB2312" w:hAnsi="FangSong_GB2312" w:eastAsia="FangSong_GB2312" w:cs="FangSong_GB2312"/>
          <w:b w:val="0"/>
          <w:bCs/>
          <w:kern w:val="2"/>
          <w:sz w:val="32"/>
          <w:szCs w:val="32"/>
          <w:highlight w:val="none"/>
          <w:lang w:val="en-US" w:eastAsia="zh-CN" w:bidi="ar-SA"/>
          <w:woUserID w:val="1"/>
        </w:rPr>
      </w:pPr>
      <w:r>
        <w:rPr>
          <w:rFonts w:hint="default" w:ascii="FangSong_GB2312" w:hAnsi="FangSong_GB2312" w:eastAsia="FangSong_GB2312" w:cs="FangSong_GB2312"/>
          <w:b w:val="0"/>
          <w:bCs/>
          <w:kern w:val="2"/>
          <w:sz w:val="32"/>
          <w:szCs w:val="32"/>
          <w:highlight w:val="none"/>
          <w:lang w:val="en-US" w:eastAsia="zh-CN" w:bidi="ar-SA"/>
          <w:woUserID w:val="1"/>
        </w:rPr>
        <w:t xml:space="preserve">公司旗下宝丰能源是以煤替代石油、以新能源替代化石能源生产聚烯烃的高端化工材料绿色制造的领军企业，也是一家A股主板上市公司，公司在宁夏宁东、内蒙古鄂尔多斯两大国家能源基地投资近1500亿元，建设了国内规模最大、产业链最完整、技术最先进的现代煤化工循环经济产业集群；公司深耕储能制造产业，建成全球唯一一家集“正极、负极、电解液材料、电芯制造、模组Pack集成”为一体的全产业链储能制造企业，形成“风光储”一体化、“源网荷储”绿电供给算力新经济的产业新模式；全力聚焦智能制造，在新能源大基地建成大型风光电项目集群并配套储能电站，聚力打造风光储一体化全产业链新能源制造标杆、算电协同绿色示范企业。公司大力引入人工智能、大数据、物联网等新一代信息技术，系统推进AI工业化应用，从安全生产经营、工艺优化提质、降本增效管控、设备能耗管理、产品研发创新、供应链物联网协同等全环节为产业全面赋能，打造AI与工业深度融合的标杆典范，为保障国家能源安全、推动能源战略转型、引领行业绿色升级、高质量发展作出了积极贡献。 </w:t>
      </w:r>
    </w:p>
    <w:p w14:paraId="2A605C0F">
      <w:pPr>
        <w:pStyle w:val="6"/>
        <w:keepNext w:val="0"/>
        <w:keepLines w:val="0"/>
        <w:pageBreakBefore w:val="0"/>
        <w:widowControl/>
        <w:suppressLineNumbers w:val="0"/>
        <w:kinsoku/>
        <w:wordWrap/>
        <w:overflowPunct/>
        <w:topLinePunct w:val="0"/>
        <w:autoSpaceDE/>
        <w:autoSpaceDN/>
        <w:bidi w:val="0"/>
        <w:adjustRightInd/>
        <w:spacing w:beforeAutospacing="1" w:line="580" w:lineRule="atLeast"/>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二、招募对象</w:t>
      </w:r>
    </w:p>
    <w:p w14:paraId="47D8DDD4">
      <w:pPr>
        <w:pStyle w:val="3"/>
        <w:pageBreakBefore w:val="0"/>
        <w:widowControl w:val="0"/>
        <w:numPr>
          <w:ilvl w:val="0"/>
          <w:numId w:val="0"/>
        </w:numPr>
        <w:kinsoku/>
        <w:wordWrap/>
        <w:overflowPunct/>
        <w:topLinePunct w:val="0"/>
        <w:autoSpaceDE/>
        <w:autoSpaceDN/>
        <w:bidi w:val="0"/>
        <w:adjustRightInd/>
        <w:snapToGrid/>
        <w:spacing w:line="580" w:lineRule="atLeast"/>
        <w:ind w:firstLine="640" w:firstLineChars="200"/>
        <w:jc w:val="both"/>
        <w:textAlignment w:val="auto"/>
        <w:rPr>
          <w:rFonts w:hint="default" w:ascii="FangSong_GB2312" w:hAnsi="FangSong_GB2312" w:eastAsia="FangSong_GB2312" w:cs="FangSong_GB2312"/>
          <w:b w:val="0"/>
          <w:bCs/>
          <w:kern w:val="2"/>
          <w:sz w:val="32"/>
          <w:szCs w:val="32"/>
          <w:highlight w:val="none"/>
          <w:lang w:val="en-US" w:eastAsia="zh-CN" w:bidi="ar-SA"/>
        </w:rPr>
      </w:pPr>
      <w:r>
        <w:rPr>
          <w:rFonts w:hint="eastAsia" w:ascii="FangSong_GB2312" w:hAnsi="FangSong_GB2312" w:eastAsia="FangSong_GB2312" w:cs="FangSong_GB2312"/>
          <w:b w:val="0"/>
          <w:bCs/>
          <w:kern w:val="2"/>
          <w:sz w:val="32"/>
          <w:szCs w:val="32"/>
          <w:highlight w:val="none"/>
          <w:lang w:val="en-US" w:eastAsia="zh-CN" w:bidi="ar-SA"/>
        </w:rPr>
        <w:t xml:space="preserve">2026届应届本科/硕士毕业生、毕业1年以内往届本科/硕士毕业生  </w:t>
      </w:r>
    </w:p>
    <w:p w14:paraId="171D7A0F">
      <w:pPr>
        <w:pageBreakBefore w:val="0"/>
        <w:widowControl w:val="0"/>
        <w:numPr>
          <w:ilvl w:val="0"/>
          <w:numId w:val="0"/>
        </w:numPr>
        <w:kinsoku/>
        <w:wordWrap/>
        <w:overflowPunct/>
        <w:topLinePunct w:val="0"/>
        <w:autoSpaceDE/>
        <w:autoSpaceDN/>
        <w:bidi w:val="0"/>
        <w:adjustRightInd/>
        <w:snapToGrid/>
        <w:spacing w:line="580" w:lineRule="atLeast"/>
        <w:textAlignment w:val="auto"/>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三、招聘岗位</w:t>
      </w:r>
    </w:p>
    <w:p w14:paraId="68987B2A">
      <w:pPr>
        <w:pageBreakBefore w:val="0"/>
        <w:kinsoku/>
        <w:wordWrap/>
        <w:overflowPunct/>
        <w:topLinePunct w:val="0"/>
        <w:autoSpaceDE/>
        <w:autoSpaceDN/>
        <w:bidi w:val="0"/>
        <w:adjustRightInd/>
        <w:spacing w:line="580" w:lineRule="atLeast"/>
        <w:ind w:firstLine="640" w:firstLineChars="200"/>
        <w:jc w:val="lef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管培生</w:t>
      </w:r>
    </w:p>
    <w:p w14:paraId="2AE16E40">
      <w:pPr>
        <w:pageBreakBefore w:val="0"/>
        <w:widowControl w:val="0"/>
        <w:numPr>
          <w:ilvl w:val="0"/>
          <w:numId w:val="1"/>
        </w:numPr>
        <w:kinsoku/>
        <w:wordWrap/>
        <w:overflowPunct/>
        <w:topLinePunct w:val="0"/>
        <w:autoSpaceDE/>
        <w:autoSpaceDN/>
        <w:bidi w:val="0"/>
        <w:adjustRightInd/>
        <w:snapToGrid/>
        <w:spacing w:line="580" w:lineRule="atLeast"/>
        <w:textAlignment w:val="auto"/>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招聘专业</w:t>
      </w:r>
    </w:p>
    <w:tbl>
      <w:tblPr>
        <w:tblStyle w:val="7"/>
        <w:tblW w:w="953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267"/>
        <w:gridCol w:w="7622"/>
      </w:tblGrid>
      <w:tr w14:paraId="67E4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blHead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CC01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29308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sz w:val="18"/>
                <w:szCs w:val="18"/>
                <w:highlight w:val="none"/>
                <w:u w:val="none"/>
                <w:lang w:val="en-US" w:eastAsia="zh-CN"/>
              </w:rPr>
              <w:t>专业类别</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2F18C0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cs="宋体"/>
                <w:b/>
                <w:bCs/>
                <w:i w:val="0"/>
                <w:iCs w:val="0"/>
                <w:color w:val="000000"/>
                <w:kern w:val="0"/>
                <w:sz w:val="18"/>
                <w:szCs w:val="18"/>
                <w:highlight w:val="none"/>
                <w:u w:val="none"/>
                <w:lang w:val="en-US" w:eastAsia="zh-CN" w:bidi="ar"/>
              </w:rPr>
              <w:t>主要</w:t>
            </w:r>
            <w:r>
              <w:rPr>
                <w:rFonts w:hint="eastAsia" w:ascii="宋体" w:hAnsi="宋体" w:eastAsia="宋体" w:cs="宋体"/>
                <w:b/>
                <w:bCs/>
                <w:i w:val="0"/>
                <w:iCs w:val="0"/>
                <w:color w:val="000000"/>
                <w:kern w:val="0"/>
                <w:sz w:val="18"/>
                <w:szCs w:val="18"/>
                <w:highlight w:val="none"/>
                <w:u w:val="none"/>
                <w:lang w:val="en-US" w:eastAsia="zh-CN" w:bidi="ar"/>
              </w:rPr>
              <w:t>专业</w:t>
            </w:r>
          </w:p>
        </w:tc>
      </w:tr>
      <w:tr w14:paraId="7D42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EFD552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635D1B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化工工艺类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21A10BD4">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5"/>
                <w:rFonts w:hint="eastAsia" w:ascii="宋体" w:hAnsi="宋体" w:eastAsia="宋体" w:cs="宋体"/>
                <w:color w:val="000000" w:themeColor="text1"/>
                <w:sz w:val="18"/>
                <w:szCs w:val="18"/>
                <w:lang w:val="en-US" w:eastAsia="zh-CN" w:bidi="ar"/>
                <w14:textFill>
                  <w14:solidFill>
                    <w14:schemeClr w14:val="tx1"/>
                  </w14:solidFill>
                </w14:textFill>
              </w:rPr>
              <w:t>化学工程与工艺、应用化学、能源化学工程、化学、分析化学、高分子化学、</w:t>
            </w:r>
            <w:r>
              <w:rPr>
                <w:rStyle w:val="16"/>
                <w:rFonts w:hint="eastAsia" w:ascii="宋体" w:hAnsi="宋体" w:eastAsia="宋体" w:cs="宋体"/>
                <w:color w:val="000000" w:themeColor="text1"/>
                <w:sz w:val="18"/>
                <w:szCs w:val="18"/>
                <w:lang w:val="en-US" w:eastAsia="zh-CN" w:bidi="ar"/>
                <w14:textFill>
                  <w14:solidFill>
                    <w14:schemeClr w14:val="tx1"/>
                  </w14:solidFill>
                </w14:textFill>
              </w:rPr>
              <w:t>精细化工、</w:t>
            </w:r>
            <w:r>
              <w:rPr>
                <w:rStyle w:val="17"/>
                <w:rFonts w:hint="eastAsia" w:ascii="宋体" w:hAnsi="宋体" w:eastAsia="宋体" w:cs="宋体"/>
                <w:color w:val="000000" w:themeColor="text1"/>
                <w:sz w:val="18"/>
                <w:szCs w:val="18"/>
                <w:lang w:val="en-US" w:eastAsia="zh-CN" w:bidi="ar"/>
                <w14:textFill>
                  <w14:solidFill>
                    <w14:schemeClr w14:val="tx1"/>
                  </w14:solidFill>
                </w14:textFill>
              </w:rPr>
              <w:t>环境工程等</w:t>
            </w:r>
            <w:r>
              <w:rPr>
                <w:rStyle w:val="14"/>
                <w:rFonts w:hint="eastAsia" w:ascii="宋体" w:hAnsi="宋体" w:eastAsia="宋体" w:cs="宋体"/>
                <w:color w:val="000000" w:themeColor="text1"/>
                <w:sz w:val="18"/>
                <w:szCs w:val="18"/>
                <w:lang w:val="en-US" w:eastAsia="zh-CN" w:bidi="ar"/>
                <w14:textFill>
                  <w14:solidFill>
                    <w14:schemeClr w14:val="tx1"/>
                  </w14:solidFill>
                </w14:textFill>
              </w:rPr>
              <w:t>专业</w:t>
            </w:r>
          </w:p>
        </w:tc>
      </w:tr>
      <w:tr w14:paraId="1E08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C4E4DB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0FC9C68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机械工程类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23B3003F">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5"/>
                <w:rFonts w:hint="eastAsia" w:ascii="宋体" w:hAnsi="宋体" w:eastAsia="宋体" w:cs="宋体"/>
                <w:color w:val="000000" w:themeColor="text1"/>
                <w:sz w:val="18"/>
                <w:szCs w:val="18"/>
                <w:lang w:val="en-US" w:eastAsia="zh-CN" w:bidi="ar"/>
                <w14:textFill>
                  <w14:solidFill>
                    <w14:schemeClr w14:val="tx1"/>
                  </w14:solidFill>
                </w14:textFill>
              </w:rPr>
              <w:t>机械工程、机械设计制造及其自动化、材料成型及控制工程、机械电子工程、化工过程机</w:t>
            </w:r>
            <w:r>
              <w:rPr>
                <w:rStyle w:val="17"/>
                <w:rFonts w:hint="eastAsia" w:ascii="宋体" w:hAnsi="宋体" w:eastAsia="宋体" w:cs="宋体"/>
                <w:color w:val="000000" w:themeColor="text1"/>
                <w:sz w:val="18"/>
                <w:szCs w:val="18"/>
                <w:lang w:val="en-US" w:eastAsia="zh-CN" w:bidi="ar"/>
                <w14:textFill>
                  <w14:solidFill>
                    <w14:schemeClr w14:val="tx1"/>
                  </w14:solidFill>
                </w14:textFill>
              </w:rPr>
              <w:t>械、过程装备与控制工程、</w:t>
            </w:r>
            <w:r>
              <w:rPr>
                <w:rStyle w:val="16"/>
                <w:rFonts w:hint="eastAsia" w:ascii="宋体" w:hAnsi="宋体" w:eastAsia="宋体" w:cs="宋体"/>
                <w:color w:val="000000" w:themeColor="text1"/>
                <w:sz w:val="18"/>
                <w:szCs w:val="18"/>
                <w:lang w:val="en-US" w:eastAsia="zh-CN" w:bidi="ar"/>
                <w14:textFill>
                  <w14:solidFill>
                    <w14:schemeClr w14:val="tx1"/>
                  </w14:solidFill>
                </w14:textFill>
              </w:rPr>
              <w:t>车辆工程、工业设计</w:t>
            </w:r>
            <w:r>
              <w:rPr>
                <w:rStyle w:val="14"/>
                <w:rFonts w:hint="eastAsia" w:ascii="宋体" w:hAnsi="宋体" w:eastAsia="宋体" w:cs="宋体"/>
                <w:color w:val="000000" w:themeColor="text1"/>
                <w:sz w:val="18"/>
                <w:szCs w:val="18"/>
                <w:lang w:val="en-US" w:eastAsia="zh-CN" w:bidi="ar"/>
                <w14:textFill>
                  <w14:solidFill>
                    <w14:schemeClr w14:val="tx1"/>
                  </w14:solidFill>
                </w14:textFill>
              </w:rPr>
              <w:t>等专业</w:t>
            </w:r>
          </w:p>
        </w:tc>
      </w:tr>
      <w:tr w14:paraId="0DF6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9C438C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798BDD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电气工程类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626740CB">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4"/>
                <w:rFonts w:hint="eastAsia" w:ascii="宋体" w:hAnsi="宋体" w:eastAsia="宋体" w:cs="宋体"/>
                <w:color w:val="000000" w:themeColor="text1"/>
                <w:sz w:val="18"/>
                <w:szCs w:val="18"/>
                <w:lang w:val="en-US" w:eastAsia="zh-CN" w:bidi="ar"/>
                <w14:textFill>
                  <w14:solidFill>
                    <w14:schemeClr w14:val="tx1"/>
                  </w14:solidFill>
                </w14:textFill>
              </w:rPr>
              <w:t>电气工程及其自动化、电气工程与智能控制、智能电网信息工程</w:t>
            </w:r>
            <w:r>
              <w:rPr>
                <w:rStyle w:val="15"/>
                <w:rFonts w:hint="eastAsia" w:ascii="宋体" w:hAnsi="宋体" w:eastAsia="宋体" w:cs="宋体"/>
                <w:color w:val="000000" w:themeColor="text1"/>
                <w:sz w:val="18"/>
                <w:szCs w:val="18"/>
                <w:lang w:val="en-US" w:eastAsia="zh-CN" w:bidi="ar"/>
                <w14:textFill>
                  <w14:solidFill>
                    <w14:schemeClr w14:val="tx1"/>
                  </w14:solidFill>
                </w14:textFill>
              </w:rPr>
              <w:t>等专业</w:t>
            </w:r>
          </w:p>
        </w:tc>
      </w:tr>
      <w:tr w14:paraId="23EA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0D6E90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6F3566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材料工程类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4D030E7B">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材料科学与工程、高分子材料与工程、新能源材料与器件、材料化学等专业</w:t>
            </w:r>
          </w:p>
        </w:tc>
      </w:tr>
      <w:tr w14:paraId="0F8C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7C7503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221806A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仪表技术类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707362E6">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测控技术与仪器、自动化、电子科学与技术、控制科学与工程等专业</w:t>
            </w:r>
          </w:p>
        </w:tc>
      </w:tr>
      <w:tr w14:paraId="7537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9E20D7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B8995B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矿业工程类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52A137D8">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4"/>
                <w:rFonts w:hint="eastAsia" w:ascii="宋体" w:hAnsi="宋体" w:eastAsia="宋体" w:cs="宋体"/>
                <w:color w:val="000000" w:themeColor="text1"/>
                <w:sz w:val="18"/>
                <w:szCs w:val="18"/>
                <w:lang w:val="en-US" w:eastAsia="zh-CN" w:bidi="ar"/>
                <w14:textFill>
                  <w14:solidFill>
                    <w14:schemeClr w14:val="tx1"/>
                  </w14:solidFill>
                </w14:textFill>
              </w:rPr>
              <w:t>采矿工程、矿物加工工程、资源勘查工程、地质工程、</w:t>
            </w:r>
            <w:r>
              <w:rPr>
                <w:rStyle w:val="16"/>
                <w:rFonts w:hint="eastAsia" w:ascii="宋体" w:hAnsi="宋体" w:eastAsia="宋体" w:cs="宋体"/>
                <w:color w:val="000000" w:themeColor="text1"/>
                <w:sz w:val="18"/>
                <w:szCs w:val="18"/>
                <w:lang w:val="en-US" w:eastAsia="zh-CN" w:bidi="ar"/>
                <w14:textFill>
                  <w14:solidFill>
                    <w14:schemeClr w14:val="tx1"/>
                  </w14:solidFill>
                </w14:textFill>
              </w:rPr>
              <w:t>智能采矿工程</w:t>
            </w:r>
            <w:r>
              <w:rPr>
                <w:rStyle w:val="14"/>
                <w:rFonts w:hint="eastAsia" w:ascii="宋体" w:hAnsi="宋体" w:eastAsia="宋体" w:cs="宋体"/>
                <w:color w:val="000000" w:themeColor="text1"/>
                <w:sz w:val="18"/>
                <w:szCs w:val="18"/>
                <w:lang w:val="en-US" w:eastAsia="zh-CN" w:bidi="ar"/>
                <w14:textFill>
                  <w14:solidFill>
                    <w14:schemeClr w14:val="tx1"/>
                  </w14:solidFill>
                </w14:textFill>
              </w:rPr>
              <w:t>等专业</w:t>
            </w:r>
          </w:p>
        </w:tc>
      </w:tr>
      <w:tr w14:paraId="1FDC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C52C26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FA4FE6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新能源类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1C0A9F41">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4"/>
                <w:rFonts w:hint="eastAsia" w:ascii="宋体" w:hAnsi="宋体" w:eastAsia="宋体" w:cs="宋体"/>
                <w:color w:val="000000" w:themeColor="text1"/>
                <w:sz w:val="18"/>
                <w:szCs w:val="18"/>
                <w:lang w:val="en-US" w:eastAsia="zh-CN" w:bidi="ar"/>
                <w14:textFill>
                  <w14:solidFill>
                    <w14:schemeClr w14:val="tx1"/>
                  </w14:solidFill>
                </w14:textFill>
              </w:rPr>
              <w:t>能源与动力工程、新能源科学与工程、</w:t>
            </w:r>
            <w:r>
              <w:rPr>
                <w:rStyle w:val="17"/>
                <w:rFonts w:hint="eastAsia" w:ascii="宋体" w:hAnsi="宋体" w:eastAsia="宋体" w:cs="宋体"/>
                <w:color w:val="000000" w:themeColor="text1"/>
                <w:sz w:val="18"/>
                <w:szCs w:val="18"/>
                <w:lang w:val="en-US" w:eastAsia="zh-CN" w:bidi="ar"/>
                <w14:textFill>
                  <w14:solidFill>
                    <w14:schemeClr w14:val="tx1"/>
                  </w14:solidFill>
                </w14:textFill>
              </w:rPr>
              <w:t>储能科学与工程等专</w:t>
            </w:r>
            <w:r>
              <w:rPr>
                <w:rStyle w:val="14"/>
                <w:rFonts w:hint="eastAsia" w:ascii="宋体" w:hAnsi="宋体" w:eastAsia="宋体" w:cs="宋体"/>
                <w:color w:val="000000" w:themeColor="text1"/>
                <w:sz w:val="18"/>
                <w:szCs w:val="18"/>
                <w:lang w:val="en-US" w:eastAsia="zh-CN" w:bidi="ar"/>
                <w14:textFill>
                  <w14:solidFill>
                    <w14:schemeClr w14:val="tx1"/>
                  </w14:solidFill>
                </w14:textFill>
              </w:rPr>
              <w:t>业</w:t>
            </w:r>
          </w:p>
        </w:tc>
      </w:tr>
      <w:tr w14:paraId="6AFC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AC87C0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8</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D7C90E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安全工程类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13DE924D">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5"/>
                <w:rFonts w:hint="eastAsia" w:ascii="宋体" w:hAnsi="宋体" w:eastAsia="宋体" w:cs="宋体"/>
                <w:color w:val="000000" w:themeColor="text1"/>
                <w:sz w:val="18"/>
                <w:szCs w:val="18"/>
                <w:lang w:val="en-US" w:eastAsia="zh-CN" w:bidi="ar"/>
                <w14:textFill>
                  <w14:solidFill>
                    <w14:schemeClr w14:val="tx1"/>
                  </w14:solidFill>
                </w14:textFill>
              </w:rPr>
              <w:t>安全工程、</w:t>
            </w:r>
            <w:r>
              <w:rPr>
                <w:rStyle w:val="17"/>
                <w:rFonts w:hint="eastAsia" w:ascii="宋体" w:hAnsi="宋体" w:eastAsia="宋体" w:cs="宋体"/>
                <w:color w:val="000000" w:themeColor="text1"/>
                <w:sz w:val="18"/>
                <w:szCs w:val="18"/>
                <w:lang w:val="en-US" w:eastAsia="zh-CN" w:bidi="ar"/>
                <w14:textFill>
                  <w14:solidFill>
                    <w14:schemeClr w14:val="tx1"/>
                  </w14:solidFill>
                </w14:textFill>
              </w:rPr>
              <w:t>消防工程、</w:t>
            </w:r>
            <w:r>
              <w:rPr>
                <w:rStyle w:val="16"/>
                <w:rFonts w:hint="eastAsia" w:ascii="宋体" w:hAnsi="宋体" w:eastAsia="宋体" w:cs="宋体"/>
                <w:color w:val="000000" w:themeColor="text1"/>
                <w:sz w:val="18"/>
                <w:szCs w:val="18"/>
                <w:lang w:val="en-US" w:eastAsia="zh-CN" w:bidi="ar"/>
                <w14:textFill>
                  <w14:solidFill>
                    <w14:schemeClr w14:val="tx1"/>
                  </w14:solidFill>
                </w14:textFill>
              </w:rPr>
              <w:t>应急技术与管理、化工安全工程</w:t>
            </w:r>
            <w:r>
              <w:rPr>
                <w:rStyle w:val="14"/>
                <w:rFonts w:hint="eastAsia" w:ascii="宋体" w:hAnsi="宋体" w:eastAsia="宋体" w:cs="宋体"/>
                <w:color w:val="000000" w:themeColor="text1"/>
                <w:sz w:val="18"/>
                <w:szCs w:val="18"/>
                <w:lang w:val="en-US" w:eastAsia="zh-CN" w:bidi="ar"/>
                <w14:textFill>
                  <w14:solidFill>
                    <w14:schemeClr w14:val="tx1"/>
                  </w14:solidFill>
                </w14:textFill>
              </w:rPr>
              <w:t>等专业</w:t>
            </w:r>
          </w:p>
        </w:tc>
      </w:tr>
      <w:tr w14:paraId="47C5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2BCD28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9</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1D5B5F2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工程管理类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36C14071">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工程管理、工程造价等专业</w:t>
            </w:r>
          </w:p>
        </w:tc>
      </w:tr>
      <w:tr w14:paraId="1E8D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4FFBBB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cs="宋体"/>
                <w:i w:val="0"/>
                <w:iCs w:val="0"/>
                <w:color w:val="000000" w:themeColor="text1"/>
                <w:sz w:val="18"/>
                <w:szCs w:val="18"/>
                <w:highlight w:val="none"/>
                <w:u w:val="none"/>
                <w:lang w:val="en-US" w:eastAsia="zh-CN"/>
                <w14:textFill>
                  <w14:solidFill>
                    <w14:schemeClr w14:val="tx1"/>
                  </w14:solidFill>
                </w14:textFill>
              </w:rPr>
              <w:t>10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547D9EA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AI数智类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0A023E86">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人工智能、智能科学与技术、计算机科学与技术、电子与计算机工程、数据科学与大数据技术等专业</w:t>
            </w:r>
          </w:p>
        </w:tc>
      </w:tr>
      <w:tr w14:paraId="763A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D82DE6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7110784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财务管理类</w:t>
            </w:r>
          </w:p>
        </w:tc>
        <w:tc>
          <w:tcPr>
            <w:tcW w:w="7622" w:type="dxa"/>
            <w:tcBorders>
              <w:top w:val="single" w:color="auto" w:sz="4" w:space="0"/>
              <w:left w:val="single" w:color="auto" w:sz="4" w:space="0"/>
              <w:bottom w:val="single" w:color="auto" w:sz="4" w:space="0"/>
              <w:right w:val="single" w:color="auto" w:sz="4" w:space="0"/>
            </w:tcBorders>
            <w:shd w:val="clear" w:color="auto" w:fill="auto"/>
            <w:vAlign w:val="center"/>
          </w:tcPr>
          <w:p w14:paraId="7859D79B">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4"/>
                <w:rFonts w:hint="eastAsia" w:ascii="宋体" w:hAnsi="宋体" w:eastAsia="宋体" w:cs="宋体"/>
                <w:color w:val="000000" w:themeColor="text1"/>
                <w:sz w:val="18"/>
                <w:szCs w:val="18"/>
                <w:lang w:val="en-US" w:eastAsia="zh-CN" w:bidi="ar"/>
                <w14:textFill>
                  <w14:solidFill>
                    <w14:schemeClr w14:val="tx1"/>
                  </w14:solidFill>
                </w14:textFill>
              </w:rPr>
              <w:t>会计学、财务管理、</w:t>
            </w:r>
            <w:r>
              <w:rPr>
                <w:rStyle w:val="17"/>
                <w:rFonts w:hint="eastAsia" w:ascii="宋体" w:hAnsi="宋体" w:eastAsia="宋体" w:cs="宋体"/>
                <w:color w:val="000000" w:themeColor="text1"/>
                <w:sz w:val="18"/>
                <w:szCs w:val="18"/>
                <w:lang w:val="en-US" w:eastAsia="zh-CN" w:bidi="ar"/>
                <w14:textFill>
                  <w14:solidFill>
                    <w14:schemeClr w14:val="tx1"/>
                  </w14:solidFill>
                </w14:textFill>
              </w:rPr>
              <w:t>财政学、税收学、审计学</w:t>
            </w:r>
            <w:r>
              <w:rPr>
                <w:rStyle w:val="14"/>
                <w:rFonts w:hint="eastAsia" w:ascii="宋体" w:hAnsi="宋体" w:eastAsia="宋体" w:cs="宋体"/>
                <w:color w:val="000000" w:themeColor="text1"/>
                <w:sz w:val="18"/>
                <w:szCs w:val="18"/>
                <w:lang w:val="en-US" w:eastAsia="zh-CN" w:bidi="ar"/>
                <w14:textFill>
                  <w14:solidFill>
                    <w14:schemeClr w14:val="tx1"/>
                  </w14:solidFill>
                </w14:textFill>
              </w:rPr>
              <w:t>等专业</w:t>
            </w:r>
          </w:p>
        </w:tc>
      </w:tr>
      <w:tr w14:paraId="32B6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3B2B3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FA8CA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经营管理类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43134E">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4"/>
                <w:rFonts w:hint="eastAsia" w:ascii="宋体" w:hAnsi="宋体" w:eastAsia="宋体" w:cs="宋体"/>
                <w:color w:val="000000" w:themeColor="text1"/>
                <w:sz w:val="18"/>
                <w:szCs w:val="18"/>
                <w:lang w:val="en-US" w:eastAsia="zh-CN" w:bidi="ar"/>
                <w14:textFill>
                  <w14:solidFill>
                    <w14:schemeClr w14:val="tx1"/>
                  </w14:solidFill>
                </w14:textFill>
              </w:rPr>
              <w:t>金融学、经济学、国际经济</w:t>
            </w:r>
            <w:r>
              <w:rPr>
                <w:rStyle w:val="17"/>
                <w:rFonts w:hint="eastAsia" w:ascii="宋体" w:hAnsi="宋体" w:eastAsia="宋体" w:cs="宋体"/>
                <w:color w:val="000000" w:themeColor="text1"/>
                <w:sz w:val="18"/>
                <w:szCs w:val="18"/>
                <w:lang w:val="en-US" w:eastAsia="zh-CN" w:bidi="ar"/>
                <w14:textFill>
                  <w14:solidFill>
                    <w14:schemeClr w14:val="tx1"/>
                  </w14:solidFill>
                </w14:textFill>
              </w:rPr>
              <w:t>与贸易、经济统计学、市场营销</w:t>
            </w:r>
            <w:r>
              <w:rPr>
                <w:rStyle w:val="14"/>
                <w:rFonts w:hint="eastAsia" w:ascii="宋体" w:hAnsi="宋体" w:eastAsia="宋体" w:cs="宋体"/>
                <w:color w:val="000000" w:themeColor="text1"/>
                <w:sz w:val="18"/>
                <w:szCs w:val="18"/>
                <w:lang w:val="en-US" w:eastAsia="zh-CN" w:bidi="ar"/>
                <w14:textFill>
                  <w14:solidFill>
                    <w14:schemeClr w14:val="tx1"/>
                  </w14:solidFill>
                </w14:textFill>
              </w:rPr>
              <w:t>等专业</w:t>
            </w:r>
          </w:p>
        </w:tc>
      </w:tr>
      <w:tr w14:paraId="4B7F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5933C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2"/>
                <w:sz w:val="18"/>
                <w:szCs w:val="18"/>
                <w:highlight w:val="none"/>
                <w:u w:val="none"/>
                <w:lang w:val="en-US" w:eastAsia="zh-CN" w:bidi="ar-SA"/>
                <w14:textFill>
                  <w14:solidFill>
                    <w14:schemeClr w14:val="tx1"/>
                  </w14:solidFill>
                </w14:textFill>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5C59A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人力资源类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1D40A5">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Style w:val="15"/>
                <w:rFonts w:hint="eastAsia" w:ascii="宋体" w:hAnsi="宋体" w:eastAsia="宋体" w:cs="宋体"/>
                <w:color w:val="000000" w:themeColor="text1"/>
                <w:sz w:val="18"/>
                <w:szCs w:val="18"/>
                <w:lang w:val="en-US" w:eastAsia="zh-CN" w:bidi="ar"/>
                <w14:textFill>
                  <w14:solidFill>
                    <w14:schemeClr w14:val="tx1"/>
                  </w14:solidFill>
                </w14:textFill>
              </w:rPr>
              <w:t>人力资源管理、应用心理学、劳动</w:t>
            </w:r>
            <w:r>
              <w:rPr>
                <w:rStyle w:val="17"/>
                <w:rFonts w:hint="eastAsia" w:ascii="宋体" w:hAnsi="宋体" w:eastAsia="宋体" w:cs="宋体"/>
                <w:color w:val="000000" w:themeColor="text1"/>
                <w:sz w:val="18"/>
                <w:szCs w:val="18"/>
                <w:lang w:val="en-US" w:eastAsia="zh-CN" w:bidi="ar"/>
                <w14:textFill>
                  <w14:solidFill>
                    <w14:schemeClr w14:val="tx1"/>
                  </w14:solidFill>
                </w14:textFill>
              </w:rPr>
              <w:t>与社会保障、法学、</w:t>
            </w:r>
            <w:r>
              <w:rPr>
                <w:rStyle w:val="15"/>
                <w:rFonts w:hint="eastAsia" w:ascii="宋体" w:hAnsi="宋体" w:eastAsia="宋体" w:cs="宋体"/>
                <w:color w:val="000000" w:themeColor="text1"/>
                <w:sz w:val="18"/>
                <w:szCs w:val="18"/>
                <w:lang w:val="en-US" w:eastAsia="zh-CN" w:bidi="ar"/>
                <w14:textFill>
                  <w14:solidFill>
                    <w14:schemeClr w14:val="tx1"/>
                  </w14:solidFill>
                </w14:textFill>
              </w:rPr>
              <w:t>统计学、数学与应用数学等专业</w:t>
            </w:r>
          </w:p>
        </w:tc>
      </w:tr>
      <w:tr w14:paraId="45DF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FADE87">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default" w:ascii="宋体" w:hAnsi="宋体" w:cs="宋体" w:eastAsiaTheme="minorEastAsia"/>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FEFCC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行政管理及企业文化类</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F1438A">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Style w:val="17"/>
                <w:rFonts w:hint="eastAsia" w:ascii="宋体" w:hAnsi="宋体" w:eastAsia="宋体" w:cs="宋体"/>
                <w:color w:val="000000" w:themeColor="text1"/>
                <w:sz w:val="18"/>
                <w:szCs w:val="18"/>
                <w:lang w:val="en-US" w:eastAsia="zh-CN" w:bidi="ar"/>
                <w14:textFill>
                  <w14:solidFill>
                    <w14:schemeClr w14:val="tx1"/>
                  </w14:solidFill>
                </w14:textFill>
              </w:rPr>
              <w:t>工商管理、</w:t>
            </w:r>
            <w:r>
              <w:rPr>
                <w:rStyle w:val="15"/>
                <w:rFonts w:hint="eastAsia" w:ascii="宋体" w:hAnsi="宋体" w:eastAsia="宋体" w:cs="宋体"/>
                <w:color w:val="000000" w:themeColor="text1"/>
                <w:sz w:val="18"/>
                <w:szCs w:val="18"/>
                <w:lang w:val="en-US" w:eastAsia="zh-CN" w:bidi="ar"/>
                <w14:textFill>
                  <w14:solidFill>
                    <w14:schemeClr w14:val="tx1"/>
                  </w14:solidFill>
                </w14:textFill>
              </w:rPr>
              <w:t>汉语言文学、</w:t>
            </w:r>
            <w:r>
              <w:rPr>
                <w:rStyle w:val="17"/>
                <w:rFonts w:hint="eastAsia" w:ascii="宋体" w:hAnsi="宋体" w:eastAsia="宋体" w:cs="宋体"/>
                <w:color w:val="000000" w:themeColor="text1"/>
                <w:sz w:val="18"/>
                <w:szCs w:val="18"/>
                <w:lang w:val="en-US" w:eastAsia="zh-CN" w:bidi="ar"/>
                <w14:textFill>
                  <w14:solidFill>
                    <w14:schemeClr w14:val="tx1"/>
                  </w14:solidFill>
                </w14:textFill>
              </w:rPr>
              <w:t>秘书学、行政管理、公共事业管理、</w:t>
            </w:r>
            <w:r>
              <w:rPr>
                <w:rStyle w:val="16"/>
                <w:rFonts w:hint="eastAsia" w:ascii="宋体" w:hAnsi="宋体" w:eastAsia="宋体" w:cs="宋体"/>
                <w:color w:val="000000" w:themeColor="text1"/>
                <w:sz w:val="18"/>
                <w:szCs w:val="18"/>
                <w:lang w:val="en-US" w:eastAsia="zh-CN" w:bidi="ar"/>
                <w14:textFill>
                  <w14:solidFill>
                    <w14:schemeClr w14:val="tx1"/>
                  </w14:solidFill>
                </w14:textFill>
              </w:rPr>
              <w:t>旅游管理、酒店管理、</w:t>
            </w:r>
            <w:r>
              <w:rPr>
                <w:rStyle w:val="17"/>
                <w:rFonts w:hint="eastAsia" w:ascii="宋体" w:hAnsi="宋体" w:eastAsia="宋体" w:cs="宋体"/>
                <w:color w:val="000000" w:themeColor="text1"/>
                <w:sz w:val="18"/>
                <w:szCs w:val="18"/>
                <w:lang w:val="en-US" w:eastAsia="zh-CN" w:bidi="ar"/>
                <w14:textFill>
                  <w14:solidFill>
                    <w14:schemeClr w14:val="tx1"/>
                  </w14:solidFill>
                </w14:textFill>
              </w:rPr>
              <w:t>新闻学、传播学</w:t>
            </w:r>
            <w:r>
              <w:rPr>
                <w:rStyle w:val="17"/>
                <w:rFonts w:hint="default" w:ascii="宋体" w:hAnsi="宋体" w:eastAsia="宋体" w:cs="宋体"/>
                <w:color w:val="000000" w:themeColor="text1"/>
                <w:sz w:val="18"/>
                <w:szCs w:val="18"/>
                <w:lang w:eastAsia="zh-CN" w:bidi="ar"/>
                <w14:textFill>
                  <w14:solidFill>
                    <w14:schemeClr w14:val="tx1"/>
                  </w14:solidFill>
                </w14:textFill>
                <w:woUserID w:val="1"/>
              </w:rPr>
              <w:t>、影视摄影与制作</w:t>
            </w:r>
            <w:r>
              <w:rPr>
                <w:rStyle w:val="16"/>
                <w:rFonts w:hint="eastAsia" w:ascii="宋体" w:hAnsi="宋体" w:eastAsia="宋体" w:cs="宋体"/>
                <w:color w:val="000000" w:themeColor="text1"/>
                <w:sz w:val="18"/>
                <w:szCs w:val="18"/>
                <w:lang w:val="en-US" w:eastAsia="zh-CN" w:bidi="ar"/>
                <w14:textFill>
                  <w14:solidFill>
                    <w14:schemeClr w14:val="tx1"/>
                  </w14:solidFill>
                </w14:textFill>
              </w:rPr>
              <w:t>等专业</w:t>
            </w:r>
          </w:p>
        </w:tc>
      </w:tr>
    </w:tbl>
    <w:p w14:paraId="518A46D4">
      <w:pPr>
        <w:keepNext w:val="0"/>
        <w:keepLines w:val="0"/>
        <w:pageBreakBefore w:val="0"/>
        <w:widowControl w:val="0"/>
        <w:numPr>
          <w:ilvl w:val="0"/>
          <w:numId w:val="0"/>
        </w:numPr>
        <w:kinsoku/>
        <w:wordWrap/>
        <w:overflowPunct/>
        <w:topLinePunct w:val="0"/>
        <w:autoSpaceDE/>
        <w:autoSpaceDN/>
        <w:bidi w:val="0"/>
        <w:adjustRightInd/>
        <w:snapToGrid/>
        <w:spacing w:line="580" w:lineRule="atLeast"/>
        <w:textAlignment w:val="auto"/>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五、工作地点</w:t>
      </w:r>
    </w:p>
    <w:p w14:paraId="13937EC9">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atLeast"/>
        <w:ind w:firstLine="640" w:firstLineChars="200"/>
        <w:jc w:val="both"/>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宁夏银川市</w:t>
      </w:r>
    </w:p>
    <w:p w14:paraId="7A2721DE">
      <w:pPr>
        <w:keepNext w:val="0"/>
        <w:keepLines w:val="0"/>
        <w:pageBreakBefore w:val="0"/>
        <w:widowControl w:val="0"/>
        <w:numPr>
          <w:ilvl w:val="0"/>
          <w:numId w:val="0"/>
        </w:numPr>
        <w:kinsoku/>
        <w:wordWrap/>
        <w:overflowPunct/>
        <w:topLinePunct w:val="0"/>
        <w:autoSpaceDE/>
        <w:autoSpaceDN/>
        <w:bidi w:val="0"/>
        <w:adjustRightInd/>
        <w:snapToGrid/>
        <w:spacing w:line="580" w:lineRule="atLeast"/>
        <w:textAlignment w:val="auto"/>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六、薪酬福利</w:t>
      </w:r>
    </w:p>
    <w:p w14:paraId="126C505E">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80" w:lineRule="atLeast"/>
        <w:ind w:left="-10" w:leftChars="0" w:firstLine="64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薪酬</w:t>
      </w:r>
    </w:p>
    <w:p w14:paraId="66563C5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eastAsia="zh-CN" w:bidi="ar-SA"/>
          <w:woUserID w:val="1"/>
        </w:rPr>
        <w:t xml:space="preserve">   </w:t>
      </w:r>
      <w:r>
        <w:rPr>
          <w:rFonts w:hint="default" w:ascii="仿宋_GB2312" w:hAnsi="仿宋_GB2312" w:eastAsia="仿宋_GB2312" w:cs="仿宋_GB2312"/>
          <w:kern w:val="2"/>
          <w:sz w:val="32"/>
          <w:szCs w:val="32"/>
          <w:highlight w:val="none"/>
          <w:lang w:val="en-US" w:eastAsia="zh-CN" w:bidi="ar-SA"/>
        </w:rPr>
        <w:t xml:space="preserve"> 本科：年薪12-1</w:t>
      </w:r>
      <w:r>
        <w:rPr>
          <w:rFonts w:hint="eastAsia" w:ascii="仿宋_GB2312" w:hAnsi="仿宋_GB2312" w:eastAsia="仿宋_GB2312" w:cs="仿宋_GB2312"/>
          <w:kern w:val="2"/>
          <w:sz w:val="32"/>
          <w:szCs w:val="32"/>
          <w:highlight w:val="none"/>
          <w:lang w:val="en-US" w:eastAsia="zh-CN" w:bidi="ar-SA"/>
        </w:rPr>
        <w:t>8</w:t>
      </w:r>
      <w:r>
        <w:rPr>
          <w:rFonts w:hint="default" w:ascii="仿宋_GB2312" w:hAnsi="仿宋_GB2312" w:eastAsia="仿宋_GB2312" w:cs="仿宋_GB2312"/>
          <w:kern w:val="2"/>
          <w:sz w:val="32"/>
          <w:szCs w:val="32"/>
          <w:highlight w:val="none"/>
          <w:lang w:val="en-US" w:eastAsia="zh-CN" w:bidi="ar-SA"/>
        </w:rPr>
        <w:t>万</w:t>
      </w:r>
    </w:p>
    <w:p w14:paraId="42B837E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 xml:space="preserve">    硕士：年薪1</w:t>
      </w:r>
      <w:r>
        <w:rPr>
          <w:rFonts w:hint="eastAsia" w:ascii="仿宋_GB2312" w:hAnsi="仿宋_GB2312" w:eastAsia="仿宋_GB2312" w:cs="仿宋_GB2312"/>
          <w:kern w:val="2"/>
          <w:sz w:val="32"/>
          <w:szCs w:val="32"/>
          <w:highlight w:val="none"/>
          <w:lang w:val="en-US" w:eastAsia="zh-CN" w:bidi="ar-SA"/>
        </w:rPr>
        <w:t>5</w:t>
      </w:r>
      <w:r>
        <w:rPr>
          <w:rFonts w:hint="default"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2</w:t>
      </w:r>
      <w:r>
        <w:rPr>
          <w:rFonts w:hint="default" w:ascii="仿宋_GB2312" w:hAnsi="仿宋_GB2312" w:eastAsia="仿宋_GB2312" w:cs="仿宋_GB2312"/>
          <w:kern w:val="2"/>
          <w:sz w:val="32"/>
          <w:szCs w:val="32"/>
          <w:highlight w:val="none"/>
          <w:lang w:val="en-US" w:eastAsia="zh-CN" w:bidi="ar-SA"/>
        </w:rPr>
        <w:t>万</w:t>
      </w:r>
    </w:p>
    <w:p w14:paraId="17ABBB3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特别优秀人才</w:t>
      </w:r>
      <w:r>
        <w:rPr>
          <w:rFonts w:hint="eastAsia" w:ascii="仿宋_GB2312" w:hAnsi="仿宋_GB2312" w:eastAsia="仿宋_GB2312" w:cs="仿宋_GB2312"/>
          <w:kern w:val="2"/>
          <w:sz w:val="32"/>
          <w:szCs w:val="32"/>
          <w:highlight w:val="none"/>
          <w:lang w:val="en-US" w:eastAsia="zh-CN" w:bidi="ar-SA"/>
        </w:rPr>
        <w:t>，薪酬面议</w:t>
      </w:r>
    </w:p>
    <w:p w14:paraId="5D3D2C48">
      <w:pPr>
        <w:keepNext w:val="0"/>
        <w:keepLines w:val="0"/>
        <w:pageBreakBefore w:val="0"/>
        <w:widowControl w:val="0"/>
        <w:numPr>
          <w:ilvl w:val="0"/>
          <w:numId w:val="2"/>
        </w:numPr>
        <w:kinsoku/>
        <w:wordWrap/>
        <w:overflowPunct/>
        <w:topLinePunct w:val="0"/>
        <w:autoSpaceDE/>
        <w:autoSpaceDN/>
        <w:bidi w:val="0"/>
        <w:adjustRightInd/>
        <w:spacing w:beforeAutospacing="0" w:afterAutospacing="0" w:line="580" w:lineRule="atLeast"/>
        <w:ind w:left="-10" w:leftChars="0" w:firstLine="64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福利</w:t>
      </w:r>
    </w:p>
    <w:p w14:paraId="436601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（1）一餐一元 ：自助取餐 营养均衡</w:t>
      </w:r>
    </w:p>
    <w:p w14:paraId="6CB6AB2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（2）公寓式宿舍 ：拎包入住 温馨舒适</w:t>
      </w:r>
    </w:p>
    <w:p w14:paraId="36DB5CD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（3）上下班通勤车：直达厂区 便利出行</w:t>
      </w:r>
    </w:p>
    <w:p w14:paraId="563837A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（4）大病帮扶：给予员工及直属亲属最高30万大病帮扶</w:t>
      </w:r>
    </w:p>
    <w:p w14:paraId="660D7D6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（5）评优奖励 ：现金奖励 境外出游</w:t>
      </w:r>
    </w:p>
    <w:p w14:paraId="1A8B004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atLeas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（6）文化活动：精彩多样 凝心聚力</w:t>
      </w:r>
    </w:p>
    <w:p w14:paraId="2DCCE974">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atLeast"/>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七、招聘流程</w:t>
      </w:r>
    </w:p>
    <w:p w14:paraId="0D277735">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atLeast"/>
        <w:ind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网申—面试—录用审批—三方签订—入职报到</w:t>
      </w:r>
    </w:p>
    <w:p w14:paraId="189ED5F9">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atLeast"/>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八、投递渠道</w:t>
      </w:r>
    </w:p>
    <w:p w14:paraId="065B12AF">
      <w:pPr>
        <w:pStyle w:val="4"/>
        <w:keepNext w:val="0"/>
        <w:keepLines w:val="0"/>
        <w:pageBreakBefore w:val="0"/>
        <w:widowControl w:val="0"/>
        <w:kinsoku/>
        <w:wordWrap/>
        <w:overflowPunct/>
        <w:topLinePunct w:val="0"/>
        <w:autoSpaceDE/>
        <w:autoSpaceDN/>
        <w:bidi w:val="0"/>
        <w:adjustRightInd/>
        <w:snapToGrid w:val="0"/>
        <w:spacing w:beforeAutospacing="0" w:afterAutospacing="0" w:line="580" w:lineRule="atLeast"/>
        <w:ind w:firstLine="640" w:firstLineChars="200"/>
        <w:textAlignment w:val="top"/>
        <w:rPr>
          <w:rFonts w:hint="eastAsia" w:ascii="仿宋_GB2312" w:hAnsi="仿宋_GB2312" w:eastAsia="仿宋_GB2312" w:cs="仿宋_GB2312"/>
          <w:b w:val="0"/>
          <w:color w:val="000000"/>
          <w:sz w:val="32"/>
          <w:highlight w:val="none"/>
          <w:lang w:val="en-US" w:eastAsia="zh-CN"/>
        </w:rPr>
      </w:pPr>
      <w:r>
        <w:rPr>
          <w:rFonts w:hint="eastAsia" w:ascii="仿宋_GB2312" w:hAnsi="仿宋_GB2312" w:eastAsia="仿宋_GB2312" w:cs="仿宋_GB2312"/>
          <w:b w:val="0"/>
          <w:color w:val="000000"/>
          <w:sz w:val="32"/>
          <w:highlight w:val="none"/>
          <w:lang w:val="en-US" w:eastAsia="zh-CN"/>
        </w:rPr>
        <w:t xml:space="preserve">网申二维码：   </w:t>
      </w:r>
    </w:p>
    <w:p w14:paraId="6B823532">
      <w:pPr>
        <w:pStyle w:val="6"/>
        <w:keepNext w:val="0"/>
        <w:keepLines w:val="0"/>
        <w:pageBreakBefore w:val="0"/>
        <w:widowControl/>
        <w:suppressLineNumbers w:val="0"/>
        <w:kinsoku/>
        <w:wordWrap/>
        <w:overflowPunct/>
        <w:topLinePunct w:val="0"/>
        <w:autoSpaceDE/>
        <w:autoSpaceDN/>
        <w:bidi w:val="0"/>
        <w:adjustRightInd/>
        <w:spacing w:beforeAutospacing="1" w:line="580" w:lineRule="atLeast"/>
        <w:jc w:val="center"/>
        <w:rPr>
          <w:rFonts w:hint="default" w:ascii="仿宋_GB2312" w:hAnsi="仿宋_GB2312" w:eastAsia="仿宋_GB2312" w:cs="仿宋_GB2312"/>
          <w:b w:val="0"/>
          <w:color w:val="000000"/>
          <w:sz w:val="32"/>
          <w:szCs w:val="32"/>
          <w:highlight w:val="none"/>
          <w:lang w:val="en-US" w:eastAsia="zh-CN"/>
        </w:rPr>
      </w:pPr>
      <w:r>
        <w:drawing>
          <wp:inline distT="0" distB="0" distL="114300" distR="114300">
            <wp:extent cx="1295400" cy="1295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95400" cy="1295400"/>
                    </a:xfrm>
                    <a:prstGeom prst="rect">
                      <a:avLst/>
                    </a:prstGeom>
                    <a:noFill/>
                    <a:ln w="9525">
                      <a:noFill/>
                    </a:ln>
                  </pic:spPr>
                </pic:pic>
              </a:graphicData>
            </a:graphic>
          </wp:inline>
        </w:drawing>
      </w:r>
      <w:bookmarkStart w:id="0" w:name="_GoBack"/>
      <w:bookmarkEnd w:id="0"/>
    </w:p>
    <w:p w14:paraId="1B867805">
      <w:pPr>
        <w:pStyle w:val="6"/>
        <w:keepNext w:val="0"/>
        <w:keepLines w:val="0"/>
        <w:pageBreakBefore w:val="0"/>
        <w:widowControl/>
        <w:suppressLineNumbers w:val="0"/>
        <w:kinsoku/>
        <w:wordWrap/>
        <w:overflowPunct/>
        <w:topLinePunct w:val="0"/>
        <w:autoSpaceDE/>
        <w:autoSpaceDN/>
        <w:bidi w:val="0"/>
        <w:adjustRightInd/>
        <w:snapToGrid/>
        <w:spacing w:beforeAutospacing="1" w:afterAutospacing="0" w:line="580" w:lineRule="atLeast"/>
        <w:ind w:firstLine="640" w:firstLineChars="200"/>
        <w:jc w:val="both"/>
        <w:textAlignment w:val="auto"/>
        <w:rPr>
          <w:rFonts w:hint="eastAsia" w:ascii="仿宋_GB2312" w:hAnsi="仿宋_GB2312" w:eastAsia="仿宋_GB2312" w:cs="仿宋_GB2312"/>
          <w:b w:val="0"/>
          <w:color w:val="000000"/>
          <w:kern w:val="2"/>
          <w:sz w:val="32"/>
          <w:szCs w:val="32"/>
          <w:highlight w:val="none"/>
          <w:lang w:val="en-US" w:eastAsia="zh-CN"/>
        </w:rPr>
      </w:pPr>
      <w:r>
        <w:rPr>
          <w:rFonts w:hint="eastAsia" w:ascii="仿宋_GB2312" w:hAnsi="仿宋_GB2312" w:eastAsia="仿宋_GB2312" w:cs="仿宋_GB2312"/>
          <w:b w:val="0"/>
          <w:color w:val="000000"/>
          <w:kern w:val="2"/>
          <w:sz w:val="32"/>
          <w:szCs w:val="32"/>
          <w:highlight w:val="none"/>
          <w:lang w:val="en-US" w:eastAsia="zh-CN"/>
        </w:rPr>
        <w:t>邮箱：</w:t>
      </w:r>
      <w:r>
        <w:rPr>
          <w:woUserID w:val="1"/>
        </w:rPr>
        <w:t>bfjthr@baofenggroup.com</w:t>
      </w:r>
      <w:r>
        <w:rPr>
          <w:rFonts w:hint="eastAsia" w:ascii="仿宋_GB2312" w:hAnsi="仿宋_GB2312" w:eastAsia="仿宋_GB2312" w:cs="仿宋_GB2312"/>
          <w:b w:val="0"/>
          <w:color w:val="000000"/>
          <w:kern w:val="2"/>
          <w:sz w:val="32"/>
          <w:szCs w:val="32"/>
          <w:highlight w:val="none"/>
          <w:lang w:val="en-US" w:eastAsia="zh-CN"/>
        </w:rPr>
        <w:t xml:space="preserve"> </w:t>
      </w:r>
    </w:p>
    <w:p w14:paraId="2E93A41B">
      <w:pPr>
        <w:pStyle w:val="4"/>
        <w:keepNext w:val="0"/>
        <w:keepLines w:val="0"/>
        <w:pageBreakBefore w:val="0"/>
        <w:widowControl w:val="0"/>
        <w:numPr>
          <w:ilvl w:val="0"/>
          <w:numId w:val="0"/>
        </w:numPr>
        <w:kinsoku/>
        <w:wordWrap/>
        <w:overflowPunct/>
        <w:topLinePunct w:val="0"/>
        <w:autoSpaceDE/>
        <w:autoSpaceDN/>
        <w:bidi w:val="0"/>
        <w:adjustRightInd/>
        <w:spacing w:beforeAutospacing="0" w:afterAutospacing="0" w:line="580" w:lineRule="atLeast"/>
        <w:textAlignment w:val="auto"/>
        <w:rPr>
          <w:rFonts w:hint="default" w:ascii="黑体" w:hAnsi="黑体" w:eastAsia="黑体" w:cstheme="minorBidi"/>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heme="minorBidi"/>
          <w:color w:val="000000" w:themeColor="text1"/>
          <w:kern w:val="2"/>
          <w:sz w:val="32"/>
          <w:szCs w:val="32"/>
          <w:highlight w:val="none"/>
          <w:lang w:val="en-US" w:eastAsia="zh-CN" w:bidi="ar-SA"/>
          <w14:textFill>
            <w14:solidFill>
              <w14:schemeClr w14:val="tx1"/>
            </w14:solidFill>
          </w14:textFill>
        </w:rPr>
        <w:t>九、联系方式</w:t>
      </w:r>
    </w:p>
    <w:p w14:paraId="28F2D47F">
      <w:pPr>
        <w:keepNext w:val="0"/>
        <w:keepLines w:val="0"/>
        <w:pageBreakBefore w:val="0"/>
        <w:widowControl w:val="0"/>
        <w:kinsoku/>
        <w:wordWrap/>
        <w:overflowPunct/>
        <w:topLinePunct w:val="0"/>
        <w:autoSpaceDE/>
        <w:autoSpaceDN/>
        <w:bidi w:val="0"/>
        <w:adjustRightInd/>
        <w:spacing w:beforeAutospacing="0" w:afterAutospacing="0" w:line="580" w:lineRule="atLeast"/>
        <w:ind w:firstLine="640" w:firstLineChars="200"/>
        <w:jc w:val="both"/>
        <w:textAlignment w:val="auto"/>
        <w:rPr>
          <w:rFonts w:hint="default" w:asciiTheme="majorEastAsia" w:hAnsiTheme="majorEastAsia" w:eastAsiaTheme="majorEastAsia" w:cstheme="majorEastAsia"/>
          <w:b w:val="0"/>
          <w:bCs w:val="0"/>
          <w:color w:val="auto"/>
          <w:sz w:val="28"/>
          <w:szCs w:val="28"/>
          <w:highlight w:val="none"/>
          <w:lang w:val="en-US" w:eastAsia="zh-CN"/>
        </w:rPr>
      </w:pPr>
      <w:r>
        <w:rPr>
          <w:rFonts w:hint="eastAsia" w:ascii="仿宋_GB2312" w:hAnsi="仿宋_GB2312" w:eastAsia="仿宋_GB2312" w:cs="仿宋_GB2312"/>
          <w:b w:val="0"/>
          <w:color w:val="000000"/>
          <w:sz w:val="32"/>
          <w:highlight w:val="none"/>
        </w:rPr>
        <w:t>0951-5558055</w:t>
      </w:r>
      <w:r>
        <w:rPr>
          <w:rFonts w:hint="default" w:ascii="仿宋_GB2312" w:hAnsi="仿宋_GB2312" w:eastAsia="仿宋_GB2312" w:cs="仿宋_GB2312"/>
          <w:b w:val="0"/>
          <w:color w:val="000000"/>
          <w:sz w:val="32"/>
          <w:highlight w:val="none"/>
          <w:lang w:val="en-US"/>
        </w:rPr>
        <w:t>/</w:t>
      </w:r>
      <w:r>
        <w:rPr>
          <w:rFonts w:hint="eastAsia" w:ascii="仿宋_GB2312" w:hAnsi="仿宋_GB2312" w:eastAsia="仿宋_GB2312" w:cs="仿宋_GB2312"/>
          <w:b w:val="0"/>
          <w:color w:val="000000"/>
          <w:sz w:val="32"/>
          <w:highlight w:val="none"/>
        </w:rPr>
        <w:t>0951-5558019</w:t>
      </w:r>
    </w:p>
    <w:sectPr>
      <w:pgSz w:w="11905" w:h="16837" w:orient="landscape"/>
      <w:pgMar w:top="2098" w:right="1531" w:bottom="1814" w:left="1531"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semibold">
    <w:altName w:val="宋体"/>
    <w:panose1 w:val="020B0400000000000000"/>
    <w:charset w:val="86"/>
    <w:family w:val="auto"/>
    <w:pitch w:val="default"/>
    <w:sig w:usb0="00000000" w:usb1="00000000" w:usb2="00000017" w:usb3="00000000" w:csb0="00040001" w:csb1="00000000"/>
  </w:font>
  <w:font w:name="Noto Serif CJK SC">
    <w:altName w:val="宋体"/>
    <w:panose1 w:val="02020400000000000000"/>
    <w:charset w:val="86"/>
    <w:family w:val="auto"/>
    <w:pitch w:val="default"/>
    <w:sig w:usb0="00000000" w:usb1="00000000" w:usb2="00000016" w:usb3="00000000" w:csb0="602E0107"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1C57"/>
    <w:multiLevelType w:val="singleLevel"/>
    <w:tmpl w:val="BFFD1C57"/>
    <w:lvl w:ilvl="0" w:tentative="0">
      <w:start w:val="4"/>
      <w:numFmt w:val="chineseCounting"/>
      <w:suff w:val="nothing"/>
      <w:lvlText w:val="%1、"/>
      <w:lvlJc w:val="left"/>
      <w:rPr>
        <w:rFonts w:hint="eastAsia"/>
      </w:rPr>
    </w:lvl>
  </w:abstractNum>
  <w:abstractNum w:abstractNumId="1">
    <w:nsid w:val="517C01C2"/>
    <w:multiLevelType w:val="singleLevel"/>
    <w:tmpl w:val="517C01C2"/>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jc4NzUwYjQxNjA5ZmMzOGJkOGI2NzA5ZjA4MjAifQ=="/>
    <w:docVar w:name="KSO_WPS_MARK_KEY" w:val="61932b27-b15a-49b2-9cc3-8f0e3fa7c063"/>
  </w:docVars>
  <w:rsids>
    <w:rsidRoot w:val="006F1607"/>
    <w:rsid w:val="001440D5"/>
    <w:rsid w:val="006F1607"/>
    <w:rsid w:val="01EF73C7"/>
    <w:rsid w:val="066553B2"/>
    <w:rsid w:val="0902043D"/>
    <w:rsid w:val="09870D0B"/>
    <w:rsid w:val="0EB73650"/>
    <w:rsid w:val="0FFCF595"/>
    <w:rsid w:val="12FFF067"/>
    <w:rsid w:val="13545D39"/>
    <w:rsid w:val="15752150"/>
    <w:rsid w:val="17EE75E4"/>
    <w:rsid w:val="1F0ED0F7"/>
    <w:rsid w:val="1F77FF2A"/>
    <w:rsid w:val="23DF53F1"/>
    <w:rsid w:val="27097E9A"/>
    <w:rsid w:val="2AEF5627"/>
    <w:rsid w:val="2EC1E93B"/>
    <w:rsid w:val="333E43B5"/>
    <w:rsid w:val="35D75EF5"/>
    <w:rsid w:val="36ECE448"/>
    <w:rsid w:val="39510920"/>
    <w:rsid w:val="399258DC"/>
    <w:rsid w:val="3AEB5506"/>
    <w:rsid w:val="3BF38378"/>
    <w:rsid w:val="3BFEDFC2"/>
    <w:rsid w:val="3D5CA5C9"/>
    <w:rsid w:val="3EFED88D"/>
    <w:rsid w:val="3F77D1F1"/>
    <w:rsid w:val="3FA70265"/>
    <w:rsid w:val="3FF99F20"/>
    <w:rsid w:val="44933BB6"/>
    <w:rsid w:val="45126D36"/>
    <w:rsid w:val="488E346C"/>
    <w:rsid w:val="4CEF6660"/>
    <w:rsid w:val="4FFBE077"/>
    <w:rsid w:val="51BB5EF1"/>
    <w:rsid w:val="52DC732B"/>
    <w:rsid w:val="53DB8D1C"/>
    <w:rsid w:val="53F95608"/>
    <w:rsid w:val="579D02DE"/>
    <w:rsid w:val="57FB7E9C"/>
    <w:rsid w:val="58A93789"/>
    <w:rsid w:val="596A2BA5"/>
    <w:rsid w:val="5AA41DEA"/>
    <w:rsid w:val="5D7F0F58"/>
    <w:rsid w:val="5DBBDD63"/>
    <w:rsid w:val="5DFD713C"/>
    <w:rsid w:val="5E7BCC62"/>
    <w:rsid w:val="5FDC7EB4"/>
    <w:rsid w:val="5FE669E8"/>
    <w:rsid w:val="64FD30DD"/>
    <w:rsid w:val="6757E5BF"/>
    <w:rsid w:val="67FF7F23"/>
    <w:rsid w:val="68DE1465"/>
    <w:rsid w:val="69FE8F00"/>
    <w:rsid w:val="6A7480BE"/>
    <w:rsid w:val="6B7F9DB7"/>
    <w:rsid w:val="6F77CB8F"/>
    <w:rsid w:val="6F7F1B30"/>
    <w:rsid w:val="6F9E8A34"/>
    <w:rsid w:val="6FD26B82"/>
    <w:rsid w:val="6FDF633D"/>
    <w:rsid w:val="71EBFB80"/>
    <w:rsid w:val="75FFF40F"/>
    <w:rsid w:val="76EDE4A1"/>
    <w:rsid w:val="77CFA830"/>
    <w:rsid w:val="77E5938A"/>
    <w:rsid w:val="77EDF6CA"/>
    <w:rsid w:val="77EE1824"/>
    <w:rsid w:val="7B1D3152"/>
    <w:rsid w:val="7B37396D"/>
    <w:rsid w:val="7B4A0A69"/>
    <w:rsid w:val="7B7A6E5C"/>
    <w:rsid w:val="7B7F60CD"/>
    <w:rsid w:val="7CD47E94"/>
    <w:rsid w:val="7D3F9CA1"/>
    <w:rsid w:val="7D5EF668"/>
    <w:rsid w:val="7D77C1E0"/>
    <w:rsid w:val="7D7C6BA2"/>
    <w:rsid w:val="7DBF9A09"/>
    <w:rsid w:val="7DE30ECB"/>
    <w:rsid w:val="7E175AB1"/>
    <w:rsid w:val="7E3B0533"/>
    <w:rsid w:val="7E7CB3DD"/>
    <w:rsid w:val="7EB67A9D"/>
    <w:rsid w:val="7F2F9CD5"/>
    <w:rsid w:val="7F6F24DE"/>
    <w:rsid w:val="7FAD4DA4"/>
    <w:rsid w:val="7FCA2B00"/>
    <w:rsid w:val="7FD77270"/>
    <w:rsid w:val="7FDBA212"/>
    <w:rsid w:val="7FDDD8BD"/>
    <w:rsid w:val="7FDFA789"/>
    <w:rsid w:val="7FF127C7"/>
    <w:rsid w:val="7FF5D276"/>
    <w:rsid w:val="7FFD2915"/>
    <w:rsid w:val="8CEF1F09"/>
    <w:rsid w:val="97CC5223"/>
    <w:rsid w:val="9ADB7E2C"/>
    <w:rsid w:val="A7DFAB17"/>
    <w:rsid w:val="ABEFF0A0"/>
    <w:rsid w:val="AE7F36C4"/>
    <w:rsid w:val="AFC13D61"/>
    <w:rsid w:val="B175DFDE"/>
    <w:rsid w:val="B3FF189C"/>
    <w:rsid w:val="B5F5CD68"/>
    <w:rsid w:val="BCFFBE7B"/>
    <w:rsid w:val="BEE70E50"/>
    <w:rsid w:val="BF7F66B7"/>
    <w:rsid w:val="BFB3B88D"/>
    <w:rsid w:val="BFFDD989"/>
    <w:rsid w:val="BFFF5E82"/>
    <w:rsid w:val="CEB4ABD7"/>
    <w:rsid w:val="CFFE5FE7"/>
    <w:rsid w:val="DB7FB165"/>
    <w:rsid w:val="DBFA7915"/>
    <w:rsid w:val="DC6E4874"/>
    <w:rsid w:val="DDEFD8E2"/>
    <w:rsid w:val="DDF385B3"/>
    <w:rsid w:val="DEFFDE78"/>
    <w:rsid w:val="DF5FF9E2"/>
    <w:rsid w:val="DF9B766F"/>
    <w:rsid w:val="DFEBA1E1"/>
    <w:rsid w:val="DFFE31D8"/>
    <w:rsid w:val="E1FB5A5C"/>
    <w:rsid w:val="E6E55544"/>
    <w:rsid w:val="E7DE9282"/>
    <w:rsid w:val="EAEBF16C"/>
    <w:rsid w:val="ECDCA895"/>
    <w:rsid w:val="EDFEE550"/>
    <w:rsid w:val="EF6EBB11"/>
    <w:rsid w:val="F1A1A145"/>
    <w:rsid w:val="F63FDEE4"/>
    <w:rsid w:val="F6BCAC48"/>
    <w:rsid w:val="F6CF3E8C"/>
    <w:rsid w:val="F6FDC71B"/>
    <w:rsid w:val="F6FE5FDC"/>
    <w:rsid w:val="F7FED6FE"/>
    <w:rsid w:val="F7FF4893"/>
    <w:rsid w:val="F8BF03FF"/>
    <w:rsid w:val="F93FA837"/>
    <w:rsid w:val="F9FB1ADE"/>
    <w:rsid w:val="FB23D5E5"/>
    <w:rsid w:val="FB7CA7C1"/>
    <w:rsid w:val="FBCB1A46"/>
    <w:rsid w:val="FBCFE0CE"/>
    <w:rsid w:val="FBDF2B77"/>
    <w:rsid w:val="FBF6E243"/>
    <w:rsid w:val="FC9E2DE7"/>
    <w:rsid w:val="FCEF5265"/>
    <w:rsid w:val="FDEBFF04"/>
    <w:rsid w:val="FDFEB5ED"/>
    <w:rsid w:val="FED5842A"/>
    <w:rsid w:val="FED6A41A"/>
    <w:rsid w:val="FEDB78EC"/>
    <w:rsid w:val="FEED0BB1"/>
    <w:rsid w:val="FEFE4E36"/>
    <w:rsid w:val="FF3E2AE7"/>
    <w:rsid w:val="FF6F5DC8"/>
    <w:rsid w:val="FFA55362"/>
    <w:rsid w:val="FFC693CF"/>
    <w:rsid w:val="FFE94A7F"/>
    <w:rsid w:val="FFF6DF0D"/>
    <w:rsid w:val="FFFB1F87"/>
    <w:rsid w:val="FFFE91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paragraph" w:styleId="2">
    <w:name w:val="heading 2"/>
    <w:basedOn w:val="1"/>
    <w:next w:val="1"/>
    <w:qFormat/>
    <w:uiPriority w:val="0"/>
    <w:pPr>
      <w:keepNext/>
      <w:keepLines/>
      <w:spacing w:line="412"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afterAutospacing="1"/>
    </w:pPr>
    <w:rPr>
      <w:kern w:val="0"/>
      <w:sz w:val="24"/>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0">
    <w:name w:val="Hyperlink"/>
    <w:basedOn w:val="9"/>
    <w:qFormat/>
    <w:uiPriority w:val="0"/>
    <w:rPr>
      <w:color w:val="0563C1"/>
      <w:u w:val="single"/>
    </w:rPr>
  </w:style>
  <w:style w:type="paragraph" w:customStyle="1" w:styleId="11">
    <w:name w:val="p1"/>
    <w:basedOn w:val="1"/>
    <w:qFormat/>
    <w:uiPriority w:val="0"/>
    <w:pPr>
      <w:spacing w:before="0" w:beforeAutospacing="0" w:after="0" w:afterAutospacing="0"/>
      <w:ind w:left="0" w:right="0"/>
      <w:jc w:val="left"/>
    </w:pPr>
    <w:rPr>
      <w:rFonts w:ascii="pingfang sc semibold" w:hAnsi="pingfang sc semibold" w:eastAsia="pingfang sc semibold" w:cs="pingfang sc semibold"/>
      <w:color w:val="121416"/>
      <w:kern w:val="0"/>
      <w:sz w:val="28"/>
      <w:szCs w:val="28"/>
      <w:lang w:val="en-US" w:eastAsia="zh-CN" w:bidi="ar"/>
    </w:rPr>
  </w:style>
  <w:style w:type="character" w:customStyle="1" w:styleId="12">
    <w:name w:val="s1"/>
    <w:basedOn w:val="9"/>
    <w:qFormat/>
    <w:uiPriority w:val="0"/>
    <w:rPr>
      <w:rFonts w:ascii="pingfang sc" w:hAnsi="pingfang sc" w:eastAsia="pingfang sc" w:cs="pingfang sc"/>
      <w:sz w:val="28"/>
      <w:szCs w:val="28"/>
    </w:rPr>
  </w:style>
  <w:style w:type="character" w:customStyle="1" w:styleId="13">
    <w:name w:val="font11"/>
    <w:basedOn w:val="9"/>
    <w:qFormat/>
    <w:uiPriority w:val="0"/>
    <w:rPr>
      <w:rFonts w:hint="eastAsia" w:ascii="宋体" w:hAnsi="宋体" w:eastAsia="宋体" w:cs="宋体"/>
      <w:b/>
      <w:bCs/>
      <w:color w:val="000000"/>
      <w:sz w:val="18"/>
      <w:szCs w:val="18"/>
      <w:u w:val="none"/>
    </w:rPr>
  </w:style>
  <w:style w:type="character" w:customStyle="1" w:styleId="14">
    <w:name w:val="font21"/>
    <w:basedOn w:val="9"/>
    <w:qFormat/>
    <w:uiPriority w:val="0"/>
    <w:rPr>
      <w:rFonts w:hint="eastAsia" w:ascii="宋体" w:hAnsi="宋体" w:eastAsia="宋体" w:cs="宋体"/>
      <w:color w:val="000000"/>
      <w:sz w:val="18"/>
      <w:szCs w:val="18"/>
      <w:u w:val="none"/>
    </w:rPr>
  </w:style>
  <w:style w:type="character" w:customStyle="1" w:styleId="15">
    <w:name w:val="font31"/>
    <w:basedOn w:val="9"/>
    <w:qFormat/>
    <w:uiPriority w:val="0"/>
    <w:rPr>
      <w:rFonts w:hint="eastAsia" w:ascii="宋体" w:hAnsi="宋体" w:eastAsia="宋体" w:cs="宋体"/>
      <w:color w:val="000000"/>
      <w:sz w:val="18"/>
      <w:szCs w:val="18"/>
      <w:u w:val="none"/>
    </w:rPr>
  </w:style>
  <w:style w:type="character" w:customStyle="1" w:styleId="16">
    <w:name w:val="font51"/>
    <w:basedOn w:val="9"/>
    <w:qFormat/>
    <w:uiPriority w:val="0"/>
    <w:rPr>
      <w:rFonts w:hint="eastAsia" w:ascii="微软雅黑" w:hAnsi="微软雅黑" w:eastAsia="微软雅黑" w:cs="微软雅黑"/>
      <w:color w:val="FF0000"/>
      <w:sz w:val="24"/>
      <w:szCs w:val="24"/>
      <w:u w:val="none"/>
    </w:rPr>
  </w:style>
  <w:style w:type="character" w:customStyle="1" w:styleId="17">
    <w:name w:val="font41"/>
    <w:basedOn w:val="9"/>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1468</Words>
  <Characters>1553</Characters>
  <Lines>26</Lines>
  <Paragraphs>7</Paragraphs>
  <TotalTime>161</TotalTime>
  <ScaleCrop>false</ScaleCrop>
  <LinksUpToDate>false</LinksUpToDate>
  <CharactersWithSpaces>1577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1970-01-12T00:00:00Z</dcterms:created>
  <dc:creator>DingTalk</dc:creator>
  <dc:description>DingTalk Document</dc:description>
  <cp:lastModifiedBy>小阳</cp:lastModifiedBy>
  <dcterms:modified xsi:type="dcterms:W3CDTF">2026-03-21T05:05:53Z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45D354F4E66261FFA846A6691A2CD1D0_43</vt:lpwstr>
  </property>
  <property fmtid="{D5CDD505-2E9C-101B-9397-08002B2CF9AE}" pid="4" name="KSOTemplateDocerSaveRecord">
    <vt:lpwstr>eyJoZGlkIjoiZTM4Njc4NzUwYjQxNjA5ZmMzOGJkOGI2NzA5ZjA4MjAiLCJ1c2VySWQiOiIyNjM4OTIwMzAifQ==</vt:lpwstr>
  </property>
</Properties>
</file>